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26AF5" w14:textId="77777777" w:rsidR="004B44F9" w:rsidRPr="004B44F9" w:rsidRDefault="004B44F9" w:rsidP="004B44F9">
      <w:pPr>
        <w:shd w:val="clear" w:color="auto" w:fill="174D96"/>
        <w:spacing w:before="100" w:beforeAutospacing="1" w:after="100" w:afterAutospacing="1" w:line="240" w:lineRule="auto"/>
        <w:jc w:val="center"/>
        <w:outlineLvl w:val="2"/>
        <w:rPr>
          <w:rFonts w:ascii="Lato" w:eastAsia="Times New Roman" w:hAnsi="Lato" w:cs="Times New Roman"/>
          <w:b/>
          <w:bCs/>
          <w:color w:val="FFFFFF"/>
          <w:sz w:val="48"/>
          <w:szCs w:val="48"/>
          <w:lang w:eastAsia="pl-PL"/>
        </w:rPr>
      </w:pPr>
      <w:r w:rsidRPr="004B44F9">
        <w:rPr>
          <w:rFonts w:ascii="Lato" w:eastAsia="Times New Roman" w:hAnsi="Lato" w:cs="Times New Roman"/>
          <w:b/>
          <w:bCs/>
          <w:color w:val="FFFFFF"/>
          <w:sz w:val="48"/>
          <w:szCs w:val="48"/>
          <w:lang w:eastAsia="pl-PL"/>
        </w:rPr>
        <w:t>Jak segregować</w:t>
      </w:r>
    </w:p>
    <w:p w14:paraId="019E33AA" w14:textId="77777777" w:rsidR="004B44F9" w:rsidRPr="004B44F9" w:rsidRDefault="004B44F9" w:rsidP="004B44F9">
      <w:pPr>
        <w:spacing w:before="100" w:beforeAutospacing="1" w:after="100" w:afterAutospacing="1" w:line="240" w:lineRule="auto"/>
        <w:outlineLvl w:val="3"/>
        <w:rPr>
          <w:rFonts w:ascii="Lato" w:eastAsia="Times New Roman" w:hAnsi="Lato" w:cs="Times New Roman"/>
          <w:b/>
          <w:bCs/>
          <w:sz w:val="24"/>
          <w:szCs w:val="24"/>
          <w:lang w:eastAsia="pl-PL"/>
        </w:rPr>
      </w:pPr>
      <w:r w:rsidRPr="004B44F9">
        <w:rPr>
          <w:rFonts w:ascii="Lato" w:eastAsia="Times New Roman" w:hAnsi="Lato" w:cs="Times New Roman"/>
          <w:b/>
          <w:bCs/>
          <w:sz w:val="24"/>
          <w:szCs w:val="24"/>
          <w:lang w:eastAsia="pl-PL"/>
        </w:rPr>
        <w:t>Zapoznaj się z naszą podręczną ściągą i zobacz, jakie to proste</w:t>
      </w:r>
    </w:p>
    <w:p w14:paraId="2D30C192" w14:textId="77777777" w:rsidR="004B44F9" w:rsidRPr="004B44F9" w:rsidRDefault="004B44F9" w:rsidP="004B44F9">
      <w:p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 xml:space="preserve">Szczegółowy sposób segregacji określa </w:t>
      </w:r>
      <w:hyperlink r:id="rId5" w:history="1">
        <w:r w:rsidRPr="004B44F9">
          <w:rPr>
            <w:rFonts w:ascii="Lato" w:eastAsia="Times New Roman" w:hAnsi="Lato" w:cs="Times New Roman"/>
            <w:color w:val="0000FF"/>
            <w:sz w:val="24"/>
            <w:szCs w:val="24"/>
            <w:lang w:eastAsia="pl-PL"/>
          </w:rPr>
          <w:t>rozporządzenie Ministra Środowiska z dnia 29 grudnia 2016 r. w sprawie szczegółowego sposobu selektywnego zbierania wybranych frakcji odpadów (Dz.U. z 2017 r. poz. 19)</w:t>
        </w:r>
      </w:hyperlink>
      <w:r w:rsidRPr="004B44F9">
        <w:rPr>
          <w:rFonts w:ascii="Lato" w:eastAsia="Times New Roman" w:hAnsi="Lato" w:cs="Times New Roman"/>
          <w:sz w:val="24"/>
          <w:szCs w:val="24"/>
          <w:lang w:eastAsia="pl-PL"/>
        </w:rPr>
        <w:t>. Główna zasada Wspólnego Systemu Segregacji Odpadów (WSSO) jest jedna – należy oddzielać surowce od odpadów, które nie nadają się do powtórnego przetworzenia. Jakie surowce oddzielamy? Są to: tworzywa sztuczne i metale, papier, a także opakowania szklane i odpady biodegradowalne. Niektóre gminy mogły zdecydować o konieczności rozdzielania szkła białego i kolorowego.</w:t>
      </w:r>
    </w:p>
    <w:p w14:paraId="427EDC73" w14:textId="77777777" w:rsidR="004B44F9" w:rsidRPr="004B44F9" w:rsidRDefault="004B44F9" w:rsidP="004B44F9">
      <w:p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Zbieranie osobno papieru, szkła, tworzyw sztucznych wraz z metalem, a także oddzielanie odpadów biodegradowalnych pozwala uzyskać najbardziej pełnowartościowe surowce do ponownego przetworzenia.</w:t>
      </w:r>
    </w:p>
    <w:p w14:paraId="17DC0807" w14:textId="77777777" w:rsidR="004B44F9" w:rsidRPr="004B44F9" w:rsidRDefault="004B44F9" w:rsidP="004B44F9">
      <w:p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Przy segregacji bezwzględnie trzeba pamiętać o odpadach niebezpiecznych, do których zaliczają się zużyte baterie i akumulatory, przeterminowane lekarstwa, zużyte świetlówki, odpady po żrących chemikaliach (np. środkach ochrony roślin), a także zużyty sprzęt RTV i AGD (tzw. elektroodpady). Tych odpadów nie wolno wyrzucać do śmieci zmieszanych. Można je oddać w specjalnie wyznaczonych punktach w sklepach i aptekach, a także w punkcie selektywnej zbiórki odpadów komunalnych, czyli tzw. PSZOK-u (Punkt Selektywnego Zbierania Odpadów Komunalnych), zorganizowanym przez gminę. Godziny otwarcia PSZOK-u możesz sprawdzić m.in. na stronie internetowej swojej gminy.</w:t>
      </w:r>
    </w:p>
    <w:p w14:paraId="6F2CA10C" w14:textId="77777777" w:rsidR="004B44F9" w:rsidRPr="004B44F9" w:rsidRDefault="004B44F9" w:rsidP="004B44F9">
      <w:p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No dobrze, skoro segregowanie jest takie łatwe, to co należy zrobić z takimi odpadami jak np. karton po mleku? Czy należy wyrzucić go do pojemnika na papier, czy na aluminium, którym ten karton jest wyścielony od środka? Czy tłusty słoik po pulpetach wrzucać do szkła czy może do odpadów zmieszanych? A co z obierkami warzyw? Po kolei.</w:t>
      </w:r>
    </w:p>
    <w:p w14:paraId="1E2B4585" w14:textId="77777777" w:rsidR="004B44F9" w:rsidRPr="004B44F9" w:rsidRDefault="004B44F9" w:rsidP="004B44F9">
      <w:p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Karton po mleku to przykład opakowania wielomateriałowego. Wyrzucamy je do pojemnika na metale i tworzywa sztuczne. Z kolei opróżniony słoik po pulpetach powinniśmy wyrzucić do pojemnika na opakowania szklane. Nie szkodzi, że jest nieumyty. Zostanie umyty w sortowni.</w:t>
      </w:r>
    </w:p>
    <w:p w14:paraId="7D16B20A" w14:textId="77777777" w:rsidR="004B44F9" w:rsidRPr="004B44F9" w:rsidRDefault="004B44F9" w:rsidP="004B44F9">
      <w:p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Obierki warzyw i owoców najlepiej przeznaczyć na kompost. Jeśli nie masz przydomowego kompostownika, wyrzuć je do pojemnika na odpady biodegradowalne (BIO). Co ważne, ani szkła, ani plastiku czy metalu nie trzeba myć przed wyrzuceniem do pojemnika na odpady segregowane. Wystarczy je opróżnić. Surowce zostaną umyte na późniejszym etapie recyklingu, sortujmy je więc i wyrzucajmy do odpowiednich pojemników.</w:t>
      </w:r>
    </w:p>
    <w:p w14:paraId="6AB928B5" w14:textId="77777777" w:rsidR="004B44F9" w:rsidRDefault="004B44F9" w:rsidP="004B44F9">
      <w:p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Nadal masz wątpliwości, gdzie wyrzucić konkretny odpad? Skorzystaj z naszej ściągi poniżej.</w:t>
      </w:r>
    </w:p>
    <w:p w14:paraId="5C5BAA5A" w14:textId="77777777" w:rsidR="004B44F9" w:rsidRDefault="004B44F9" w:rsidP="004B44F9">
      <w:pPr>
        <w:spacing w:before="100" w:beforeAutospacing="1" w:after="100" w:afterAutospacing="1" w:line="240" w:lineRule="auto"/>
        <w:rPr>
          <w:rFonts w:ascii="Lato" w:eastAsia="Times New Roman" w:hAnsi="Lato" w:cs="Times New Roman"/>
          <w:sz w:val="24"/>
          <w:szCs w:val="24"/>
          <w:lang w:eastAsia="pl-PL"/>
        </w:rPr>
      </w:pPr>
    </w:p>
    <w:p w14:paraId="43A32F8A" w14:textId="77777777" w:rsidR="004B44F9" w:rsidRPr="004B44F9" w:rsidRDefault="004B44F9" w:rsidP="004B44F9">
      <w:pPr>
        <w:spacing w:before="100" w:beforeAutospacing="1" w:after="100" w:afterAutospacing="1" w:line="240" w:lineRule="auto"/>
        <w:rPr>
          <w:rFonts w:ascii="Lato" w:eastAsia="Times New Roman" w:hAnsi="Lato" w:cs="Times New Roman"/>
          <w:sz w:val="24"/>
          <w:szCs w:val="24"/>
          <w:lang w:eastAsia="pl-PL"/>
        </w:rPr>
      </w:pPr>
    </w:p>
    <w:p w14:paraId="666389BC" w14:textId="77777777" w:rsidR="004B44F9" w:rsidRPr="004B44F9" w:rsidRDefault="004B44F9" w:rsidP="004B44F9">
      <w:pPr>
        <w:spacing w:before="100" w:beforeAutospacing="1" w:after="100" w:afterAutospacing="1" w:line="240" w:lineRule="auto"/>
        <w:outlineLvl w:val="3"/>
        <w:rPr>
          <w:rFonts w:ascii="Lato" w:eastAsia="Times New Roman" w:hAnsi="Lato" w:cs="Times New Roman"/>
          <w:b/>
          <w:bCs/>
          <w:sz w:val="24"/>
          <w:szCs w:val="24"/>
          <w:lang w:eastAsia="pl-PL"/>
        </w:rPr>
      </w:pPr>
      <w:r w:rsidRPr="004B44F9">
        <w:rPr>
          <w:rFonts w:ascii="Lato" w:eastAsia="Times New Roman" w:hAnsi="Lato" w:cs="Times New Roman"/>
          <w:b/>
          <w:bCs/>
          <w:sz w:val="24"/>
          <w:szCs w:val="24"/>
          <w:lang w:eastAsia="pl-PL"/>
        </w:rPr>
        <w:t>Prawidłowa segregacja</w:t>
      </w:r>
    </w:p>
    <w:p w14:paraId="13A7F1E0" w14:textId="77777777" w:rsidR="004B44F9" w:rsidRPr="004B44F9" w:rsidRDefault="004B44F9" w:rsidP="004B44F9">
      <w:p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lastRenderedPageBreak/>
        <w:t>Szczegółowe informacje dotyczące prawidłowej segregacji sprawdź poniżej lub na stronie internetowej swojej gminy. Możesz w tym celu użyć naszej wyszukiwarki gmin.</w:t>
      </w:r>
    </w:p>
    <w:tbl>
      <w:tblPr>
        <w:tblW w:w="5000" w:type="pct"/>
        <w:tblCellSpacing w:w="75" w:type="dxa"/>
        <w:tblCellMar>
          <w:top w:w="15" w:type="dxa"/>
          <w:left w:w="15" w:type="dxa"/>
          <w:bottom w:w="15" w:type="dxa"/>
          <w:right w:w="15" w:type="dxa"/>
        </w:tblCellMar>
        <w:tblLook w:val="04A0" w:firstRow="1" w:lastRow="0" w:firstColumn="1" w:lastColumn="0" w:noHBand="0" w:noVBand="1"/>
      </w:tblPr>
      <w:tblGrid>
        <w:gridCol w:w="4536"/>
        <w:gridCol w:w="4536"/>
      </w:tblGrid>
      <w:tr w:rsidR="004B44F9" w:rsidRPr="004B44F9" w14:paraId="17DCBBD4" w14:textId="77777777" w:rsidTr="004B44F9">
        <w:trPr>
          <w:trHeight w:val="375"/>
          <w:tblCellSpacing w:w="75" w:type="dxa"/>
        </w:trPr>
        <w:tc>
          <w:tcPr>
            <w:tcW w:w="0" w:type="auto"/>
            <w:gridSpan w:val="2"/>
            <w:shd w:val="clear" w:color="auto" w:fill="FFCC00"/>
            <w:vAlign w:val="center"/>
            <w:hideMark/>
          </w:tcPr>
          <w:p w14:paraId="2CF6EC87" w14:textId="77777777" w:rsidR="004B44F9" w:rsidRPr="004B44F9" w:rsidRDefault="004B44F9" w:rsidP="004B44F9">
            <w:pPr>
              <w:spacing w:after="0" w:line="240" w:lineRule="auto"/>
              <w:jc w:val="center"/>
              <w:rPr>
                <w:rFonts w:ascii="Lato" w:eastAsia="Times New Roman" w:hAnsi="Lato" w:cs="Times New Roman"/>
                <w:color w:val="000000"/>
                <w:sz w:val="24"/>
                <w:szCs w:val="24"/>
                <w:lang w:eastAsia="pl-PL"/>
              </w:rPr>
            </w:pPr>
            <w:r w:rsidRPr="004B44F9">
              <w:rPr>
                <w:rFonts w:ascii="Lato" w:eastAsia="Times New Roman" w:hAnsi="Lato" w:cs="Times New Roman"/>
                <w:b/>
                <w:bCs/>
                <w:color w:val="000000"/>
                <w:sz w:val="24"/>
                <w:szCs w:val="24"/>
                <w:lang w:eastAsia="pl-PL"/>
              </w:rPr>
              <w:t>METALE I TWORZYWA SZTUCZNE</w:t>
            </w:r>
          </w:p>
        </w:tc>
      </w:tr>
      <w:tr w:rsidR="004B44F9" w:rsidRPr="004B44F9" w14:paraId="742FD709" w14:textId="77777777" w:rsidTr="004B44F9">
        <w:trPr>
          <w:trHeight w:val="375"/>
          <w:tblCellSpacing w:w="75" w:type="dxa"/>
        </w:trPr>
        <w:tc>
          <w:tcPr>
            <w:tcW w:w="2500" w:type="pct"/>
            <w:shd w:val="clear" w:color="auto" w:fill="00AB30"/>
            <w:vAlign w:val="center"/>
            <w:hideMark/>
          </w:tcPr>
          <w:p w14:paraId="0A1E841E" w14:textId="77777777" w:rsidR="004B44F9" w:rsidRPr="004B44F9" w:rsidRDefault="004B44F9" w:rsidP="004B44F9">
            <w:pPr>
              <w:spacing w:after="0" w:line="240" w:lineRule="auto"/>
              <w:jc w:val="center"/>
              <w:rPr>
                <w:rFonts w:ascii="Lato" w:eastAsia="Times New Roman" w:hAnsi="Lato" w:cs="Times New Roman"/>
                <w:color w:val="FFFFFF"/>
                <w:sz w:val="24"/>
                <w:szCs w:val="24"/>
                <w:lang w:eastAsia="pl-PL"/>
              </w:rPr>
            </w:pPr>
            <w:r w:rsidRPr="004B44F9">
              <w:rPr>
                <w:rFonts w:ascii="Lato" w:eastAsia="Times New Roman" w:hAnsi="Lato" w:cs="Times New Roman"/>
                <w:b/>
                <w:bCs/>
                <w:color w:val="FFFFFF"/>
                <w:sz w:val="24"/>
                <w:szCs w:val="24"/>
                <w:lang w:eastAsia="pl-PL"/>
              </w:rPr>
              <w:t>Należy wrzucać</w:t>
            </w:r>
          </w:p>
        </w:tc>
        <w:tc>
          <w:tcPr>
            <w:tcW w:w="0" w:type="auto"/>
            <w:shd w:val="clear" w:color="auto" w:fill="CF4A49"/>
            <w:vAlign w:val="center"/>
            <w:hideMark/>
          </w:tcPr>
          <w:p w14:paraId="4FBF2D0B" w14:textId="77777777" w:rsidR="004B44F9" w:rsidRPr="004B44F9" w:rsidRDefault="004B44F9" w:rsidP="004B44F9">
            <w:pPr>
              <w:spacing w:after="0" w:line="240" w:lineRule="auto"/>
              <w:jc w:val="center"/>
              <w:rPr>
                <w:rFonts w:ascii="Lato" w:eastAsia="Times New Roman" w:hAnsi="Lato" w:cs="Times New Roman"/>
                <w:color w:val="FFFFFF"/>
                <w:sz w:val="24"/>
                <w:szCs w:val="24"/>
                <w:lang w:eastAsia="pl-PL"/>
              </w:rPr>
            </w:pPr>
            <w:r w:rsidRPr="004B44F9">
              <w:rPr>
                <w:rFonts w:ascii="Lato" w:eastAsia="Times New Roman" w:hAnsi="Lato" w:cs="Times New Roman"/>
                <w:b/>
                <w:bCs/>
                <w:color w:val="FFFFFF"/>
                <w:sz w:val="24"/>
                <w:szCs w:val="24"/>
                <w:lang w:eastAsia="pl-PL"/>
              </w:rPr>
              <w:t>Nie należy wrzucać</w:t>
            </w:r>
          </w:p>
        </w:tc>
      </w:tr>
      <w:tr w:rsidR="004B44F9" w:rsidRPr="004B44F9" w14:paraId="48356F44" w14:textId="77777777" w:rsidTr="004B44F9">
        <w:trPr>
          <w:trHeight w:val="3030"/>
          <w:tblCellSpacing w:w="75" w:type="dxa"/>
        </w:trPr>
        <w:tc>
          <w:tcPr>
            <w:tcW w:w="0" w:type="auto"/>
            <w:hideMark/>
          </w:tcPr>
          <w:p w14:paraId="6A595E84" w14:textId="77777777" w:rsidR="004B44F9" w:rsidRPr="004B44F9" w:rsidRDefault="004B44F9" w:rsidP="004B44F9">
            <w:pPr>
              <w:numPr>
                <w:ilvl w:val="0"/>
                <w:numId w:val="1"/>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odkręcone i zgniecione plastikowe butelki po napojach</w:t>
            </w:r>
          </w:p>
          <w:p w14:paraId="018BDDAD" w14:textId="77777777" w:rsidR="004B44F9" w:rsidRPr="004B44F9" w:rsidRDefault="004B44F9" w:rsidP="004B44F9">
            <w:pPr>
              <w:numPr>
                <w:ilvl w:val="0"/>
                <w:numId w:val="1"/>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nakrętki, o ile nie zbieramy ich osobno w ramach akcji dobroczynnych</w:t>
            </w:r>
          </w:p>
          <w:p w14:paraId="6DC3E2A7" w14:textId="77777777" w:rsidR="004B44F9" w:rsidRPr="004B44F9" w:rsidRDefault="004B44F9" w:rsidP="004B44F9">
            <w:pPr>
              <w:numPr>
                <w:ilvl w:val="0"/>
                <w:numId w:val="1"/>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plastikowe opakowania po produktach spożywczych</w:t>
            </w:r>
          </w:p>
          <w:p w14:paraId="0EDB1257" w14:textId="77777777" w:rsidR="004B44F9" w:rsidRPr="004B44F9" w:rsidRDefault="004B44F9" w:rsidP="004B44F9">
            <w:pPr>
              <w:numPr>
                <w:ilvl w:val="0"/>
                <w:numId w:val="1"/>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opakowania wielomateriałowe (np. kartony po mleku i sokach)</w:t>
            </w:r>
          </w:p>
          <w:p w14:paraId="055B4164" w14:textId="77777777" w:rsidR="004B44F9" w:rsidRPr="004B44F9" w:rsidRDefault="004B44F9" w:rsidP="004B44F9">
            <w:pPr>
              <w:numPr>
                <w:ilvl w:val="0"/>
                <w:numId w:val="1"/>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opakowania po środkach czystości (np. proszkach do prania), kosmetykach (np. szamponach, paście do zębów) itp.</w:t>
            </w:r>
          </w:p>
          <w:p w14:paraId="18E84C22" w14:textId="77777777" w:rsidR="004B44F9" w:rsidRPr="004B44F9" w:rsidRDefault="004B44F9" w:rsidP="004B44F9">
            <w:pPr>
              <w:numPr>
                <w:ilvl w:val="0"/>
                <w:numId w:val="1"/>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plastikowe torby, worki, reklamówki, inne folie</w:t>
            </w:r>
          </w:p>
          <w:p w14:paraId="22BD6DAC" w14:textId="77777777" w:rsidR="004B44F9" w:rsidRPr="004B44F9" w:rsidRDefault="004B44F9" w:rsidP="004B44F9">
            <w:pPr>
              <w:numPr>
                <w:ilvl w:val="0"/>
                <w:numId w:val="1"/>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aluminiowe puszki po napojach i sokach</w:t>
            </w:r>
          </w:p>
          <w:p w14:paraId="58253799" w14:textId="77777777" w:rsidR="004B44F9" w:rsidRPr="004B44F9" w:rsidRDefault="004B44F9" w:rsidP="004B44F9">
            <w:pPr>
              <w:numPr>
                <w:ilvl w:val="0"/>
                <w:numId w:val="1"/>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puszki po konserwach</w:t>
            </w:r>
          </w:p>
          <w:p w14:paraId="26D2D9CD" w14:textId="77777777" w:rsidR="004B44F9" w:rsidRPr="004B44F9" w:rsidRDefault="004B44F9" w:rsidP="004B44F9">
            <w:pPr>
              <w:numPr>
                <w:ilvl w:val="0"/>
                <w:numId w:val="1"/>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folię aluminiową</w:t>
            </w:r>
          </w:p>
          <w:p w14:paraId="01FA5290" w14:textId="77777777" w:rsidR="004B44F9" w:rsidRPr="004B44F9" w:rsidRDefault="004B44F9" w:rsidP="004B44F9">
            <w:pPr>
              <w:numPr>
                <w:ilvl w:val="0"/>
                <w:numId w:val="1"/>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metale kolorowe</w:t>
            </w:r>
          </w:p>
          <w:p w14:paraId="7B3DFD8E" w14:textId="77777777" w:rsidR="004B44F9" w:rsidRPr="004B44F9" w:rsidRDefault="004B44F9" w:rsidP="004B44F9">
            <w:pPr>
              <w:numPr>
                <w:ilvl w:val="0"/>
                <w:numId w:val="1"/>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kapsle, zakrętki od słoików</w:t>
            </w:r>
          </w:p>
        </w:tc>
        <w:tc>
          <w:tcPr>
            <w:tcW w:w="0" w:type="auto"/>
            <w:hideMark/>
          </w:tcPr>
          <w:p w14:paraId="143526FA" w14:textId="77777777" w:rsidR="004B44F9" w:rsidRPr="004B44F9" w:rsidRDefault="004B44F9" w:rsidP="004B44F9">
            <w:pPr>
              <w:numPr>
                <w:ilvl w:val="0"/>
                <w:numId w:val="2"/>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butelek i pojemników z zawartością</w:t>
            </w:r>
          </w:p>
          <w:p w14:paraId="56250F13" w14:textId="77777777" w:rsidR="004B44F9" w:rsidRPr="004B44F9" w:rsidRDefault="004B44F9" w:rsidP="004B44F9">
            <w:pPr>
              <w:numPr>
                <w:ilvl w:val="0"/>
                <w:numId w:val="2"/>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plastikowych zabawek</w:t>
            </w:r>
          </w:p>
          <w:p w14:paraId="66C025F7" w14:textId="77777777" w:rsidR="004B44F9" w:rsidRPr="004B44F9" w:rsidRDefault="004B44F9" w:rsidP="004B44F9">
            <w:pPr>
              <w:numPr>
                <w:ilvl w:val="0"/>
                <w:numId w:val="2"/>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opakowań po lekach i zużytych artykułów medycznych</w:t>
            </w:r>
          </w:p>
          <w:p w14:paraId="747D5B4E" w14:textId="77777777" w:rsidR="004B44F9" w:rsidRPr="004B44F9" w:rsidRDefault="004B44F9" w:rsidP="004B44F9">
            <w:pPr>
              <w:numPr>
                <w:ilvl w:val="0"/>
                <w:numId w:val="2"/>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opakowań po olejach silnikowych</w:t>
            </w:r>
          </w:p>
          <w:p w14:paraId="0824B2BB" w14:textId="77777777" w:rsidR="004B44F9" w:rsidRPr="004B44F9" w:rsidRDefault="004B44F9" w:rsidP="004B44F9">
            <w:pPr>
              <w:numPr>
                <w:ilvl w:val="0"/>
                <w:numId w:val="2"/>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części samochodowych</w:t>
            </w:r>
          </w:p>
          <w:p w14:paraId="02E958EC" w14:textId="77777777" w:rsidR="004B44F9" w:rsidRPr="004B44F9" w:rsidRDefault="004B44F9" w:rsidP="004B44F9">
            <w:pPr>
              <w:numPr>
                <w:ilvl w:val="0"/>
                <w:numId w:val="2"/>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zużytych baterii i akumulatorów</w:t>
            </w:r>
          </w:p>
          <w:p w14:paraId="4D0516EC" w14:textId="77777777" w:rsidR="004B44F9" w:rsidRPr="004B44F9" w:rsidRDefault="004B44F9" w:rsidP="004B44F9">
            <w:pPr>
              <w:numPr>
                <w:ilvl w:val="0"/>
                <w:numId w:val="2"/>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puszek i pojemników po farbach i lakierach</w:t>
            </w:r>
          </w:p>
          <w:p w14:paraId="574D36A0" w14:textId="77777777" w:rsidR="004B44F9" w:rsidRPr="004B44F9" w:rsidRDefault="004B44F9" w:rsidP="004B44F9">
            <w:pPr>
              <w:numPr>
                <w:ilvl w:val="0"/>
                <w:numId w:val="2"/>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zużytego sprzętu elektronicznego i AGD</w:t>
            </w:r>
          </w:p>
        </w:tc>
      </w:tr>
      <w:tr w:rsidR="004B44F9" w:rsidRPr="004B44F9" w14:paraId="55507EBE" w14:textId="77777777" w:rsidTr="004B44F9">
        <w:trPr>
          <w:trHeight w:val="375"/>
          <w:tblCellSpacing w:w="75" w:type="dxa"/>
        </w:trPr>
        <w:tc>
          <w:tcPr>
            <w:tcW w:w="0" w:type="auto"/>
            <w:gridSpan w:val="2"/>
            <w:shd w:val="clear" w:color="auto" w:fill="1F90CA"/>
            <w:vAlign w:val="center"/>
            <w:hideMark/>
          </w:tcPr>
          <w:p w14:paraId="44FA670F" w14:textId="77777777" w:rsidR="004B44F9" w:rsidRPr="004B44F9" w:rsidRDefault="004B44F9" w:rsidP="004B44F9">
            <w:pPr>
              <w:spacing w:after="0" w:line="240" w:lineRule="auto"/>
              <w:jc w:val="center"/>
              <w:rPr>
                <w:rFonts w:ascii="Lato" w:eastAsia="Times New Roman" w:hAnsi="Lato" w:cs="Times New Roman"/>
                <w:color w:val="FFFFFF"/>
                <w:sz w:val="24"/>
                <w:szCs w:val="24"/>
                <w:lang w:eastAsia="pl-PL"/>
              </w:rPr>
            </w:pPr>
            <w:r w:rsidRPr="004B44F9">
              <w:rPr>
                <w:rFonts w:ascii="Lato" w:eastAsia="Times New Roman" w:hAnsi="Lato" w:cs="Times New Roman"/>
                <w:b/>
                <w:bCs/>
                <w:color w:val="FFFFFF"/>
                <w:sz w:val="24"/>
                <w:szCs w:val="24"/>
                <w:lang w:eastAsia="pl-PL"/>
              </w:rPr>
              <w:t>PAPIER</w:t>
            </w:r>
          </w:p>
        </w:tc>
      </w:tr>
      <w:tr w:rsidR="004B44F9" w:rsidRPr="004B44F9" w14:paraId="7508720A" w14:textId="77777777" w:rsidTr="004B44F9">
        <w:trPr>
          <w:trHeight w:val="375"/>
          <w:tblCellSpacing w:w="75" w:type="dxa"/>
        </w:trPr>
        <w:tc>
          <w:tcPr>
            <w:tcW w:w="2500" w:type="pct"/>
            <w:shd w:val="clear" w:color="auto" w:fill="00AB30"/>
            <w:vAlign w:val="center"/>
            <w:hideMark/>
          </w:tcPr>
          <w:p w14:paraId="0C1B2621" w14:textId="77777777" w:rsidR="004B44F9" w:rsidRPr="004B44F9" w:rsidRDefault="004B44F9" w:rsidP="004B44F9">
            <w:pPr>
              <w:spacing w:after="0" w:line="240" w:lineRule="auto"/>
              <w:jc w:val="center"/>
              <w:rPr>
                <w:rFonts w:ascii="Lato" w:eastAsia="Times New Roman" w:hAnsi="Lato" w:cs="Times New Roman"/>
                <w:color w:val="FFFFFF"/>
                <w:sz w:val="24"/>
                <w:szCs w:val="24"/>
                <w:lang w:eastAsia="pl-PL"/>
              </w:rPr>
            </w:pPr>
            <w:r w:rsidRPr="004B44F9">
              <w:rPr>
                <w:rFonts w:ascii="Lato" w:eastAsia="Times New Roman" w:hAnsi="Lato" w:cs="Times New Roman"/>
                <w:b/>
                <w:bCs/>
                <w:color w:val="FFFFFF"/>
                <w:sz w:val="24"/>
                <w:szCs w:val="24"/>
                <w:lang w:eastAsia="pl-PL"/>
              </w:rPr>
              <w:t>Należy wrzucać</w:t>
            </w:r>
          </w:p>
        </w:tc>
        <w:tc>
          <w:tcPr>
            <w:tcW w:w="0" w:type="auto"/>
            <w:shd w:val="clear" w:color="auto" w:fill="CF4A49"/>
            <w:vAlign w:val="center"/>
            <w:hideMark/>
          </w:tcPr>
          <w:p w14:paraId="08927112" w14:textId="77777777" w:rsidR="004B44F9" w:rsidRPr="004B44F9" w:rsidRDefault="004B44F9" w:rsidP="004B44F9">
            <w:pPr>
              <w:spacing w:after="0" w:line="240" w:lineRule="auto"/>
              <w:jc w:val="center"/>
              <w:rPr>
                <w:rFonts w:ascii="Lato" w:eastAsia="Times New Roman" w:hAnsi="Lato" w:cs="Times New Roman"/>
                <w:color w:val="FFFFFF"/>
                <w:sz w:val="24"/>
                <w:szCs w:val="24"/>
                <w:lang w:eastAsia="pl-PL"/>
              </w:rPr>
            </w:pPr>
            <w:r w:rsidRPr="004B44F9">
              <w:rPr>
                <w:rFonts w:ascii="Lato" w:eastAsia="Times New Roman" w:hAnsi="Lato" w:cs="Times New Roman"/>
                <w:b/>
                <w:bCs/>
                <w:color w:val="FFFFFF"/>
                <w:sz w:val="24"/>
                <w:szCs w:val="24"/>
                <w:lang w:eastAsia="pl-PL"/>
              </w:rPr>
              <w:t>Nie należy wrzucać</w:t>
            </w:r>
          </w:p>
        </w:tc>
      </w:tr>
      <w:tr w:rsidR="004B44F9" w:rsidRPr="004B44F9" w14:paraId="61181C6E" w14:textId="77777777" w:rsidTr="004B44F9">
        <w:trPr>
          <w:trHeight w:val="2355"/>
          <w:tblCellSpacing w:w="75" w:type="dxa"/>
        </w:trPr>
        <w:tc>
          <w:tcPr>
            <w:tcW w:w="0" w:type="auto"/>
            <w:hideMark/>
          </w:tcPr>
          <w:p w14:paraId="600BD3CE" w14:textId="77777777" w:rsidR="004B44F9" w:rsidRPr="004B44F9" w:rsidRDefault="004B44F9" w:rsidP="004B44F9">
            <w:pPr>
              <w:numPr>
                <w:ilvl w:val="0"/>
                <w:numId w:val="3"/>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opakowania z papieru, karton, tekturę (także falistą)</w:t>
            </w:r>
          </w:p>
          <w:p w14:paraId="40C96E83" w14:textId="77777777" w:rsidR="004B44F9" w:rsidRPr="004B44F9" w:rsidRDefault="004B44F9" w:rsidP="004B44F9">
            <w:pPr>
              <w:numPr>
                <w:ilvl w:val="0"/>
                <w:numId w:val="3"/>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katalogi, ulotki, prospekty</w:t>
            </w:r>
          </w:p>
          <w:p w14:paraId="0AA167EB" w14:textId="77777777" w:rsidR="004B44F9" w:rsidRPr="004B44F9" w:rsidRDefault="004B44F9" w:rsidP="004B44F9">
            <w:pPr>
              <w:numPr>
                <w:ilvl w:val="0"/>
                <w:numId w:val="3"/>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gazety i czasopisma</w:t>
            </w:r>
          </w:p>
          <w:p w14:paraId="6D1C4B0E" w14:textId="77777777" w:rsidR="004B44F9" w:rsidRPr="004B44F9" w:rsidRDefault="004B44F9" w:rsidP="004B44F9">
            <w:pPr>
              <w:numPr>
                <w:ilvl w:val="0"/>
                <w:numId w:val="3"/>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papier szkolny i biurowy, zadrukowane kartki</w:t>
            </w:r>
          </w:p>
          <w:p w14:paraId="71784A20" w14:textId="77777777" w:rsidR="004B44F9" w:rsidRPr="004B44F9" w:rsidRDefault="004B44F9" w:rsidP="004B44F9">
            <w:pPr>
              <w:numPr>
                <w:ilvl w:val="0"/>
                <w:numId w:val="3"/>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zeszyty i książki</w:t>
            </w:r>
          </w:p>
          <w:p w14:paraId="2EC09926" w14:textId="77777777" w:rsidR="004B44F9" w:rsidRPr="004B44F9" w:rsidRDefault="004B44F9" w:rsidP="004B44F9">
            <w:pPr>
              <w:numPr>
                <w:ilvl w:val="0"/>
                <w:numId w:val="3"/>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papier pakowy</w:t>
            </w:r>
          </w:p>
          <w:p w14:paraId="2DC01375" w14:textId="77777777" w:rsidR="004B44F9" w:rsidRPr="004B44F9" w:rsidRDefault="004B44F9" w:rsidP="004B44F9">
            <w:pPr>
              <w:numPr>
                <w:ilvl w:val="0"/>
                <w:numId w:val="3"/>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torby i worki papierowe</w:t>
            </w:r>
          </w:p>
        </w:tc>
        <w:tc>
          <w:tcPr>
            <w:tcW w:w="0" w:type="auto"/>
            <w:hideMark/>
          </w:tcPr>
          <w:p w14:paraId="3CB74260" w14:textId="77777777" w:rsidR="004B44F9" w:rsidRPr="004B44F9" w:rsidRDefault="004B44F9" w:rsidP="004B44F9">
            <w:pPr>
              <w:numPr>
                <w:ilvl w:val="0"/>
                <w:numId w:val="4"/>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ręczników papierowych i zużytych chusteczek higienicznych</w:t>
            </w:r>
          </w:p>
          <w:p w14:paraId="5D7A32AB" w14:textId="77777777" w:rsidR="004B44F9" w:rsidRPr="004B44F9" w:rsidRDefault="004B44F9" w:rsidP="004B44F9">
            <w:pPr>
              <w:numPr>
                <w:ilvl w:val="0"/>
                <w:numId w:val="4"/>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papieru lakierowanego i powleczonego folią</w:t>
            </w:r>
          </w:p>
          <w:p w14:paraId="33F6A323" w14:textId="77777777" w:rsidR="004B44F9" w:rsidRPr="004B44F9" w:rsidRDefault="004B44F9" w:rsidP="004B44F9">
            <w:pPr>
              <w:numPr>
                <w:ilvl w:val="0"/>
                <w:numId w:val="4"/>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papieru zatłuszczonego lub mocno zabrudzonego</w:t>
            </w:r>
          </w:p>
          <w:p w14:paraId="17DD4777" w14:textId="77777777" w:rsidR="004B44F9" w:rsidRPr="004B44F9" w:rsidRDefault="004B44F9" w:rsidP="004B44F9">
            <w:pPr>
              <w:numPr>
                <w:ilvl w:val="0"/>
                <w:numId w:val="4"/>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kartonów po mleku i napojach</w:t>
            </w:r>
          </w:p>
          <w:p w14:paraId="1F0B5A3A" w14:textId="77777777" w:rsidR="004B44F9" w:rsidRPr="004B44F9" w:rsidRDefault="004B44F9" w:rsidP="004B44F9">
            <w:pPr>
              <w:numPr>
                <w:ilvl w:val="0"/>
                <w:numId w:val="4"/>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papierowych worków po nawozach, cemencie i innych materiałach budowlanych</w:t>
            </w:r>
          </w:p>
          <w:p w14:paraId="11912D2D" w14:textId="77777777" w:rsidR="004B44F9" w:rsidRPr="004B44F9" w:rsidRDefault="004B44F9" w:rsidP="004B44F9">
            <w:pPr>
              <w:numPr>
                <w:ilvl w:val="0"/>
                <w:numId w:val="4"/>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tapet</w:t>
            </w:r>
          </w:p>
          <w:p w14:paraId="097EE37A" w14:textId="77777777" w:rsidR="004B44F9" w:rsidRPr="004B44F9" w:rsidRDefault="004B44F9" w:rsidP="004B44F9">
            <w:pPr>
              <w:numPr>
                <w:ilvl w:val="0"/>
                <w:numId w:val="4"/>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pieluch jednorazowych i innych materiałów higienicznych</w:t>
            </w:r>
          </w:p>
          <w:p w14:paraId="63E987C6" w14:textId="77777777" w:rsidR="004B44F9" w:rsidRPr="004B44F9" w:rsidRDefault="004B44F9" w:rsidP="004B44F9">
            <w:pPr>
              <w:numPr>
                <w:ilvl w:val="0"/>
                <w:numId w:val="4"/>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zatłuszczonych jednorazowych opakowań z papieru i naczyń jednorazowych</w:t>
            </w:r>
          </w:p>
          <w:p w14:paraId="110AA993" w14:textId="77777777" w:rsidR="004B44F9" w:rsidRPr="004B44F9" w:rsidRDefault="004B44F9" w:rsidP="004B44F9">
            <w:pPr>
              <w:numPr>
                <w:ilvl w:val="0"/>
                <w:numId w:val="4"/>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lastRenderedPageBreak/>
              <w:t>ubrań</w:t>
            </w:r>
          </w:p>
        </w:tc>
      </w:tr>
      <w:tr w:rsidR="004B44F9" w:rsidRPr="004B44F9" w14:paraId="3E86AA90" w14:textId="77777777" w:rsidTr="004B44F9">
        <w:trPr>
          <w:trHeight w:val="375"/>
          <w:tblCellSpacing w:w="75" w:type="dxa"/>
        </w:trPr>
        <w:tc>
          <w:tcPr>
            <w:tcW w:w="0" w:type="auto"/>
            <w:gridSpan w:val="2"/>
            <w:shd w:val="clear" w:color="auto" w:fill="285E04"/>
            <w:vAlign w:val="center"/>
            <w:hideMark/>
          </w:tcPr>
          <w:p w14:paraId="7507925B" w14:textId="77777777" w:rsidR="004B44F9" w:rsidRPr="004B44F9" w:rsidRDefault="004B44F9" w:rsidP="004B44F9">
            <w:pPr>
              <w:spacing w:after="0" w:line="240" w:lineRule="auto"/>
              <w:jc w:val="center"/>
              <w:rPr>
                <w:rFonts w:ascii="Lato" w:eastAsia="Times New Roman" w:hAnsi="Lato" w:cs="Times New Roman"/>
                <w:color w:val="FFFFFF"/>
                <w:sz w:val="24"/>
                <w:szCs w:val="24"/>
                <w:lang w:eastAsia="pl-PL"/>
              </w:rPr>
            </w:pPr>
            <w:r w:rsidRPr="004B44F9">
              <w:rPr>
                <w:rFonts w:ascii="Lato" w:eastAsia="Times New Roman" w:hAnsi="Lato" w:cs="Times New Roman"/>
                <w:b/>
                <w:bCs/>
                <w:color w:val="FFFFFF"/>
                <w:sz w:val="24"/>
                <w:szCs w:val="24"/>
                <w:lang w:eastAsia="pl-PL"/>
              </w:rPr>
              <w:lastRenderedPageBreak/>
              <w:t>SZKŁO</w:t>
            </w:r>
          </w:p>
        </w:tc>
      </w:tr>
      <w:tr w:rsidR="004B44F9" w:rsidRPr="004B44F9" w14:paraId="2FEF1880" w14:textId="77777777" w:rsidTr="004B44F9">
        <w:trPr>
          <w:trHeight w:val="375"/>
          <w:tblCellSpacing w:w="75" w:type="dxa"/>
        </w:trPr>
        <w:tc>
          <w:tcPr>
            <w:tcW w:w="2500" w:type="pct"/>
            <w:shd w:val="clear" w:color="auto" w:fill="00AB30"/>
            <w:vAlign w:val="center"/>
            <w:hideMark/>
          </w:tcPr>
          <w:p w14:paraId="4F4A39BE" w14:textId="77777777" w:rsidR="004B44F9" w:rsidRPr="004B44F9" w:rsidRDefault="004B44F9" w:rsidP="004B44F9">
            <w:pPr>
              <w:spacing w:after="0" w:line="240" w:lineRule="auto"/>
              <w:jc w:val="center"/>
              <w:rPr>
                <w:rFonts w:ascii="Lato" w:eastAsia="Times New Roman" w:hAnsi="Lato" w:cs="Times New Roman"/>
                <w:color w:val="FFFFFF"/>
                <w:sz w:val="24"/>
                <w:szCs w:val="24"/>
                <w:lang w:eastAsia="pl-PL"/>
              </w:rPr>
            </w:pPr>
            <w:r w:rsidRPr="004B44F9">
              <w:rPr>
                <w:rFonts w:ascii="Lato" w:eastAsia="Times New Roman" w:hAnsi="Lato" w:cs="Times New Roman"/>
                <w:b/>
                <w:bCs/>
                <w:color w:val="FFFFFF"/>
                <w:sz w:val="24"/>
                <w:szCs w:val="24"/>
                <w:lang w:eastAsia="pl-PL"/>
              </w:rPr>
              <w:t>Należy wrzucać</w:t>
            </w:r>
          </w:p>
        </w:tc>
        <w:tc>
          <w:tcPr>
            <w:tcW w:w="2500" w:type="pct"/>
            <w:shd w:val="clear" w:color="auto" w:fill="CF4A49"/>
            <w:vAlign w:val="center"/>
            <w:hideMark/>
          </w:tcPr>
          <w:p w14:paraId="6D960949" w14:textId="77777777" w:rsidR="004B44F9" w:rsidRPr="004B44F9" w:rsidRDefault="004B44F9" w:rsidP="004B44F9">
            <w:pPr>
              <w:spacing w:after="0" w:line="240" w:lineRule="auto"/>
              <w:jc w:val="center"/>
              <w:rPr>
                <w:rFonts w:ascii="Lato" w:eastAsia="Times New Roman" w:hAnsi="Lato" w:cs="Times New Roman"/>
                <w:color w:val="FFFFFF"/>
                <w:sz w:val="24"/>
                <w:szCs w:val="24"/>
                <w:lang w:eastAsia="pl-PL"/>
              </w:rPr>
            </w:pPr>
            <w:r w:rsidRPr="004B44F9">
              <w:rPr>
                <w:rFonts w:ascii="Lato" w:eastAsia="Times New Roman" w:hAnsi="Lato" w:cs="Times New Roman"/>
                <w:b/>
                <w:bCs/>
                <w:color w:val="FFFFFF"/>
                <w:sz w:val="24"/>
                <w:szCs w:val="24"/>
                <w:lang w:eastAsia="pl-PL"/>
              </w:rPr>
              <w:t>Nie należy wrzucać</w:t>
            </w:r>
          </w:p>
        </w:tc>
      </w:tr>
      <w:tr w:rsidR="004B44F9" w:rsidRPr="004B44F9" w14:paraId="28DEA01A" w14:textId="77777777" w:rsidTr="004B44F9">
        <w:trPr>
          <w:trHeight w:val="3030"/>
          <w:tblCellSpacing w:w="75" w:type="dxa"/>
        </w:trPr>
        <w:tc>
          <w:tcPr>
            <w:tcW w:w="0" w:type="auto"/>
            <w:hideMark/>
          </w:tcPr>
          <w:p w14:paraId="028BBE65" w14:textId="77777777" w:rsidR="004B44F9" w:rsidRPr="004B44F9" w:rsidRDefault="004B44F9" w:rsidP="004B44F9">
            <w:pPr>
              <w:numPr>
                <w:ilvl w:val="0"/>
                <w:numId w:val="5"/>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Butelki i słoiki po napojach i żywności (w tym butelki po napojach alkoholowych i olejach roślinnych)</w:t>
            </w:r>
          </w:p>
          <w:p w14:paraId="4613DEA4" w14:textId="77777777" w:rsidR="004B44F9" w:rsidRPr="004B44F9" w:rsidRDefault="004B44F9" w:rsidP="004B44F9">
            <w:pPr>
              <w:numPr>
                <w:ilvl w:val="0"/>
                <w:numId w:val="5"/>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Szklane opakowania po kosmetykach (jeżeli nie są wykonane z trwale połączonych kilku surowców)</w:t>
            </w:r>
          </w:p>
        </w:tc>
        <w:tc>
          <w:tcPr>
            <w:tcW w:w="0" w:type="auto"/>
            <w:hideMark/>
          </w:tcPr>
          <w:p w14:paraId="03510B08" w14:textId="77777777" w:rsidR="004B44F9" w:rsidRPr="004B44F9" w:rsidRDefault="004B44F9" w:rsidP="004B44F9">
            <w:pPr>
              <w:numPr>
                <w:ilvl w:val="0"/>
                <w:numId w:val="6"/>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Ceramiki, doniczek, porcelany, fajansu, kryształów</w:t>
            </w:r>
          </w:p>
          <w:p w14:paraId="5720E708" w14:textId="77777777" w:rsidR="004B44F9" w:rsidRPr="004B44F9" w:rsidRDefault="004B44F9" w:rsidP="004B44F9">
            <w:pPr>
              <w:numPr>
                <w:ilvl w:val="0"/>
                <w:numId w:val="6"/>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Szkła okularowego</w:t>
            </w:r>
          </w:p>
          <w:p w14:paraId="244BEF6F" w14:textId="77777777" w:rsidR="004B44F9" w:rsidRPr="004B44F9" w:rsidRDefault="004B44F9" w:rsidP="004B44F9">
            <w:pPr>
              <w:numPr>
                <w:ilvl w:val="0"/>
                <w:numId w:val="6"/>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Szkła żaroodpornego</w:t>
            </w:r>
          </w:p>
          <w:p w14:paraId="102D316C" w14:textId="77777777" w:rsidR="004B44F9" w:rsidRPr="004B44F9" w:rsidRDefault="004B44F9" w:rsidP="004B44F9">
            <w:pPr>
              <w:numPr>
                <w:ilvl w:val="0"/>
                <w:numId w:val="6"/>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Zniczy z zawartością wosku</w:t>
            </w:r>
          </w:p>
          <w:p w14:paraId="30CDA346" w14:textId="77777777" w:rsidR="004B44F9" w:rsidRPr="004B44F9" w:rsidRDefault="004B44F9" w:rsidP="004B44F9">
            <w:pPr>
              <w:numPr>
                <w:ilvl w:val="0"/>
                <w:numId w:val="6"/>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Żarówek i świetlówek</w:t>
            </w:r>
          </w:p>
          <w:p w14:paraId="5BFD8041" w14:textId="77777777" w:rsidR="004B44F9" w:rsidRPr="004B44F9" w:rsidRDefault="004B44F9" w:rsidP="004B44F9">
            <w:pPr>
              <w:numPr>
                <w:ilvl w:val="0"/>
                <w:numId w:val="6"/>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Reflektorów</w:t>
            </w:r>
          </w:p>
          <w:p w14:paraId="272E36ED" w14:textId="77777777" w:rsidR="004B44F9" w:rsidRPr="004B44F9" w:rsidRDefault="004B44F9" w:rsidP="004B44F9">
            <w:pPr>
              <w:numPr>
                <w:ilvl w:val="0"/>
                <w:numId w:val="6"/>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Opakowań po lekach, rozpuszczalnikach, olejach silnikowych</w:t>
            </w:r>
          </w:p>
          <w:p w14:paraId="32FDD87F" w14:textId="77777777" w:rsidR="004B44F9" w:rsidRPr="004B44F9" w:rsidRDefault="004B44F9" w:rsidP="004B44F9">
            <w:pPr>
              <w:numPr>
                <w:ilvl w:val="0"/>
                <w:numId w:val="6"/>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Luster</w:t>
            </w:r>
          </w:p>
          <w:p w14:paraId="4F675508" w14:textId="77777777" w:rsidR="004B44F9" w:rsidRPr="004B44F9" w:rsidRDefault="004B44F9" w:rsidP="004B44F9">
            <w:pPr>
              <w:numPr>
                <w:ilvl w:val="0"/>
                <w:numId w:val="6"/>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Szyb okiennych i zbrojonych</w:t>
            </w:r>
          </w:p>
          <w:p w14:paraId="4A35E607" w14:textId="77777777" w:rsidR="004B44F9" w:rsidRPr="004B44F9" w:rsidRDefault="004B44F9" w:rsidP="004B44F9">
            <w:pPr>
              <w:numPr>
                <w:ilvl w:val="0"/>
                <w:numId w:val="6"/>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Monitorów i lamp telewizyjnych</w:t>
            </w:r>
          </w:p>
          <w:p w14:paraId="10C67762" w14:textId="77777777" w:rsidR="004B44F9" w:rsidRPr="004B44F9" w:rsidRDefault="004B44F9" w:rsidP="004B44F9">
            <w:pPr>
              <w:numPr>
                <w:ilvl w:val="0"/>
                <w:numId w:val="6"/>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Termometrów i strzykawek</w:t>
            </w:r>
          </w:p>
        </w:tc>
      </w:tr>
      <w:tr w:rsidR="004B44F9" w:rsidRPr="004B44F9" w14:paraId="3DAC99A0" w14:textId="77777777" w:rsidTr="004B44F9">
        <w:trPr>
          <w:trHeight w:val="375"/>
          <w:tblCellSpacing w:w="75" w:type="dxa"/>
        </w:trPr>
        <w:tc>
          <w:tcPr>
            <w:tcW w:w="0" w:type="auto"/>
            <w:gridSpan w:val="2"/>
            <w:shd w:val="clear" w:color="auto" w:fill="CF4A49"/>
            <w:vAlign w:val="center"/>
            <w:hideMark/>
          </w:tcPr>
          <w:p w14:paraId="7FB0D371" w14:textId="77777777" w:rsidR="004B44F9" w:rsidRPr="004B44F9" w:rsidRDefault="004B44F9" w:rsidP="004B44F9">
            <w:pPr>
              <w:spacing w:after="0" w:line="240" w:lineRule="auto"/>
              <w:jc w:val="center"/>
              <w:rPr>
                <w:rFonts w:ascii="Lato" w:eastAsia="Times New Roman" w:hAnsi="Lato" w:cs="Times New Roman"/>
                <w:color w:val="FFFFFF"/>
                <w:sz w:val="24"/>
                <w:szCs w:val="24"/>
                <w:lang w:eastAsia="pl-PL"/>
              </w:rPr>
            </w:pPr>
            <w:r w:rsidRPr="004B44F9">
              <w:rPr>
                <w:rFonts w:ascii="Lato" w:eastAsia="Times New Roman" w:hAnsi="Lato" w:cs="Times New Roman"/>
                <w:b/>
                <w:bCs/>
                <w:color w:val="FFFFFF"/>
                <w:sz w:val="24"/>
                <w:szCs w:val="24"/>
                <w:lang w:eastAsia="pl-PL"/>
              </w:rPr>
              <w:t>UWAGA!</w:t>
            </w:r>
          </w:p>
        </w:tc>
      </w:tr>
      <w:tr w:rsidR="004B44F9" w:rsidRPr="004B44F9" w14:paraId="6F241FFC" w14:textId="77777777" w:rsidTr="004B44F9">
        <w:trPr>
          <w:tblCellSpacing w:w="75" w:type="dxa"/>
        </w:trPr>
        <w:tc>
          <w:tcPr>
            <w:tcW w:w="0" w:type="auto"/>
            <w:gridSpan w:val="2"/>
            <w:vAlign w:val="center"/>
            <w:hideMark/>
          </w:tcPr>
          <w:p w14:paraId="218E6778" w14:textId="77777777" w:rsidR="004B44F9" w:rsidRPr="004B44F9" w:rsidRDefault="004B44F9" w:rsidP="004B44F9">
            <w:pPr>
              <w:spacing w:after="0" w:line="240" w:lineRule="auto"/>
              <w:jc w:val="center"/>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Niektóre gminy zapewniają osobne pojemniki na szkło białe i kolorowe. </w:t>
            </w:r>
          </w:p>
        </w:tc>
      </w:tr>
      <w:tr w:rsidR="004B44F9" w:rsidRPr="004B44F9" w14:paraId="1594FC72" w14:textId="77777777" w:rsidTr="004B44F9">
        <w:trPr>
          <w:trHeight w:val="375"/>
          <w:tblCellSpacing w:w="75" w:type="dxa"/>
        </w:trPr>
        <w:tc>
          <w:tcPr>
            <w:tcW w:w="0" w:type="auto"/>
            <w:gridSpan w:val="2"/>
            <w:shd w:val="clear" w:color="auto" w:fill="402412"/>
            <w:vAlign w:val="center"/>
            <w:hideMark/>
          </w:tcPr>
          <w:p w14:paraId="57EC0BFE" w14:textId="77777777" w:rsidR="004B44F9" w:rsidRPr="004B44F9" w:rsidRDefault="004B44F9" w:rsidP="004B44F9">
            <w:pPr>
              <w:spacing w:after="0" w:line="240" w:lineRule="auto"/>
              <w:jc w:val="center"/>
              <w:rPr>
                <w:rFonts w:ascii="Lato" w:eastAsia="Times New Roman" w:hAnsi="Lato" w:cs="Times New Roman"/>
                <w:color w:val="FFFFFF"/>
                <w:sz w:val="24"/>
                <w:szCs w:val="24"/>
                <w:lang w:eastAsia="pl-PL"/>
              </w:rPr>
            </w:pPr>
            <w:r w:rsidRPr="004B44F9">
              <w:rPr>
                <w:rFonts w:ascii="Lato" w:eastAsia="Times New Roman" w:hAnsi="Lato" w:cs="Times New Roman"/>
                <w:b/>
                <w:bCs/>
                <w:color w:val="FFFFFF"/>
                <w:sz w:val="24"/>
                <w:szCs w:val="24"/>
                <w:lang w:eastAsia="pl-PL"/>
              </w:rPr>
              <w:t>ODPADY BIODEGRADOWALNE</w:t>
            </w:r>
          </w:p>
        </w:tc>
      </w:tr>
      <w:tr w:rsidR="004B44F9" w:rsidRPr="004B44F9" w14:paraId="6A04457A" w14:textId="77777777" w:rsidTr="004B44F9">
        <w:trPr>
          <w:trHeight w:val="375"/>
          <w:tblCellSpacing w:w="75" w:type="dxa"/>
        </w:trPr>
        <w:tc>
          <w:tcPr>
            <w:tcW w:w="2500" w:type="pct"/>
            <w:shd w:val="clear" w:color="auto" w:fill="00AB30"/>
            <w:vAlign w:val="center"/>
            <w:hideMark/>
          </w:tcPr>
          <w:p w14:paraId="0FA56DD8" w14:textId="77777777" w:rsidR="004B44F9" w:rsidRPr="004B44F9" w:rsidRDefault="004B44F9" w:rsidP="004B44F9">
            <w:pPr>
              <w:spacing w:after="0" w:line="240" w:lineRule="auto"/>
              <w:jc w:val="center"/>
              <w:rPr>
                <w:rFonts w:ascii="Lato" w:eastAsia="Times New Roman" w:hAnsi="Lato" w:cs="Times New Roman"/>
                <w:color w:val="FFFFFF"/>
                <w:sz w:val="24"/>
                <w:szCs w:val="24"/>
                <w:lang w:eastAsia="pl-PL"/>
              </w:rPr>
            </w:pPr>
            <w:r w:rsidRPr="004B44F9">
              <w:rPr>
                <w:rFonts w:ascii="Lato" w:eastAsia="Times New Roman" w:hAnsi="Lato" w:cs="Times New Roman"/>
                <w:b/>
                <w:bCs/>
                <w:color w:val="FFFFFF"/>
                <w:sz w:val="24"/>
                <w:szCs w:val="24"/>
                <w:lang w:eastAsia="pl-PL"/>
              </w:rPr>
              <w:t>Należy wrzucać</w:t>
            </w:r>
          </w:p>
        </w:tc>
        <w:tc>
          <w:tcPr>
            <w:tcW w:w="0" w:type="auto"/>
            <w:shd w:val="clear" w:color="auto" w:fill="CF4A49"/>
            <w:vAlign w:val="center"/>
            <w:hideMark/>
          </w:tcPr>
          <w:p w14:paraId="5873B56F" w14:textId="77777777" w:rsidR="004B44F9" w:rsidRPr="004B44F9" w:rsidRDefault="004B44F9" w:rsidP="004B44F9">
            <w:pPr>
              <w:spacing w:after="0" w:line="240" w:lineRule="auto"/>
              <w:jc w:val="center"/>
              <w:rPr>
                <w:rFonts w:ascii="Lato" w:eastAsia="Times New Roman" w:hAnsi="Lato" w:cs="Times New Roman"/>
                <w:color w:val="FFFFFF"/>
                <w:sz w:val="24"/>
                <w:szCs w:val="24"/>
                <w:lang w:eastAsia="pl-PL"/>
              </w:rPr>
            </w:pPr>
            <w:r w:rsidRPr="004B44F9">
              <w:rPr>
                <w:rFonts w:ascii="Lato" w:eastAsia="Times New Roman" w:hAnsi="Lato" w:cs="Times New Roman"/>
                <w:b/>
                <w:bCs/>
                <w:color w:val="FFFFFF"/>
                <w:sz w:val="24"/>
                <w:szCs w:val="24"/>
                <w:lang w:eastAsia="pl-PL"/>
              </w:rPr>
              <w:t>Nie należy wrzucać</w:t>
            </w:r>
          </w:p>
        </w:tc>
      </w:tr>
      <w:tr w:rsidR="004B44F9" w:rsidRPr="004B44F9" w14:paraId="5605DAE0" w14:textId="77777777" w:rsidTr="004B44F9">
        <w:trPr>
          <w:trHeight w:val="3044"/>
          <w:tblCellSpacing w:w="75" w:type="dxa"/>
        </w:trPr>
        <w:tc>
          <w:tcPr>
            <w:tcW w:w="0" w:type="auto"/>
            <w:hideMark/>
          </w:tcPr>
          <w:p w14:paraId="40EA5793" w14:textId="77777777" w:rsidR="004B44F9" w:rsidRPr="004B44F9" w:rsidRDefault="004B44F9" w:rsidP="004B44F9">
            <w:pPr>
              <w:numPr>
                <w:ilvl w:val="0"/>
                <w:numId w:val="7"/>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odpadki warzywne i owocowe (w tym obierki itp.)</w:t>
            </w:r>
          </w:p>
          <w:p w14:paraId="792E7EB6" w14:textId="77777777" w:rsidR="004B44F9" w:rsidRPr="004B44F9" w:rsidRDefault="004B44F9" w:rsidP="004B44F9">
            <w:pPr>
              <w:numPr>
                <w:ilvl w:val="0"/>
                <w:numId w:val="7"/>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gałęzie drzew i krzewów</w:t>
            </w:r>
          </w:p>
          <w:p w14:paraId="07C003EE" w14:textId="77777777" w:rsidR="004B44F9" w:rsidRPr="004B44F9" w:rsidRDefault="004B44F9" w:rsidP="004B44F9">
            <w:pPr>
              <w:numPr>
                <w:ilvl w:val="0"/>
                <w:numId w:val="7"/>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skoszoną trawę, liście, kwiaty</w:t>
            </w:r>
          </w:p>
          <w:p w14:paraId="6C638605" w14:textId="77777777" w:rsidR="004B44F9" w:rsidRPr="004B44F9" w:rsidRDefault="004B44F9" w:rsidP="004B44F9">
            <w:pPr>
              <w:numPr>
                <w:ilvl w:val="0"/>
                <w:numId w:val="7"/>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trociny i korę drzew</w:t>
            </w:r>
          </w:p>
          <w:p w14:paraId="41194F60" w14:textId="77777777" w:rsidR="004B44F9" w:rsidRPr="004B44F9" w:rsidRDefault="004B44F9" w:rsidP="004B44F9">
            <w:pPr>
              <w:numPr>
                <w:ilvl w:val="0"/>
                <w:numId w:val="7"/>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niezaimpregnowane drewno</w:t>
            </w:r>
          </w:p>
          <w:p w14:paraId="0306DC89" w14:textId="77777777" w:rsidR="004B44F9" w:rsidRPr="004B44F9" w:rsidRDefault="004B44F9" w:rsidP="004B44F9">
            <w:pPr>
              <w:numPr>
                <w:ilvl w:val="0"/>
                <w:numId w:val="7"/>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resztki jedzenia</w:t>
            </w:r>
          </w:p>
        </w:tc>
        <w:tc>
          <w:tcPr>
            <w:tcW w:w="0" w:type="auto"/>
            <w:hideMark/>
          </w:tcPr>
          <w:p w14:paraId="39473243" w14:textId="77777777" w:rsidR="004B44F9" w:rsidRPr="004B44F9" w:rsidRDefault="004B44F9" w:rsidP="004B44F9">
            <w:pPr>
              <w:numPr>
                <w:ilvl w:val="0"/>
                <w:numId w:val="8"/>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kości zwierząt</w:t>
            </w:r>
          </w:p>
          <w:p w14:paraId="7B5FFA8C" w14:textId="77777777" w:rsidR="004B44F9" w:rsidRPr="004B44F9" w:rsidRDefault="004B44F9" w:rsidP="004B44F9">
            <w:pPr>
              <w:numPr>
                <w:ilvl w:val="0"/>
                <w:numId w:val="8"/>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oleju jadalnego</w:t>
            </w:r>
          </w:p>
          <w:p w14:paraId="2C1BC545" w14:textId="77777777" w:rsidR="004B44F9" w:rsidRPr="004B44F9" w:rsidRDefault="004B44F9" w:rsidP="004B44F9">
            <w:pPr>
              <w:numPr>
                <w:ilvl w:val="0"/>
                <w:numId w:val="8"/>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odchodów zwierząt</w:t>
            </w:r>
          </w:p>
          <w:p w14:paraId="406BBE02" w14:textId="77777777" w:rsidR="004B44F9" w:rsidRPr="004B44F9" w:rsidRDefault="004B44F9" w:rsidP="004B44F9">
            <w:pPr>
              <w:numPr>
                <w:ilvl w:val="0"/>
                <w:numId w:val="8"/>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popiołu z węgla kamiennego</w:t>
            </w:r>
          </w:p>
          <w:p w14:paraId="006539AF" w14:textId="77777777" w:rsidR="004B44F9" w:rsidRPr="004B44F9" w:rsidRDefault="004B44F9" w:rsidP="004B44F9">
            <w:pPr>
              <w:numPr>
                <w:ilvl w:val="0"/>
                <w:numId w:val="8"/>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leków</w:t>
            </w:r>
          </w:p>
          <w:p w14:paraId="466291B7" w14:textId="77777777" w:rsidR="004B44F9" w:rsidRPr="004B44F9" w:rsidRDefault="004B44F9" w:rsidP="004B44F9">
            <w:pPr>
              <w:numPr>
                <w:ilvl w:val="0"/>
                <w:numId w:val="8"/>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drewna impregnowanego</w:t>
            </w:r>
          </w:p>
          <w:p w14:paraId="4E7CFA97" w14:textId="77777777" w:rsidR="004B44F9" w:rsidRPr="004B44F9" w:rsidRDefault="004B44F9" w:rsidP="004B44F9">
            <w:pPr>
              <w:numPr>
                <w:ilvl w:val="0"/>
                <w:numId w:val="8"/>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płyt wiórowych i pilśniowych MDF</w:t>
            </w:r>
          </w:p>
          <w:p w14:paraId="2BA6444E" w14:textId="77777777" w:rsidR="004B44F9" w:rsidRPr="004B44F9" w:rsidRDefault="004B44F9" w:rsidP="004B44F9">
            <w:pPr>
              <w:numPr>
                <w:ilvl w:val="0"/>
                <w:numId w:val="8"/>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ziemi i kamieni</w:t>
            </w:r>
          </w:p>
          <w:p w14:paraId="098D0622" w14:textId="77777777" w:rsidR="004B44F9" w:rsidRDefault="004B44F9" w:rsidP="004B44F9">
            <w:pPr>
              <w:numPr>
                <w:ilvl w:val="0"/>
                <w:numId w:val="8"/>
              </w:num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innych odpadów komunalnych (w tym niebezpiecznych)</w:t>
            </w:r>
          </w:p>
          <w:p w14:paraId="249728D3" w14:textId="35BC0809" w:rsidR="00816979" w:rsidRPr="004B44F9" w:rsidRDefault="00816979" w:rsidP="004B44F9">
            <w:pPr>
              <w:numPr>
                <w:ilvl w:val="0"/>
                <w:numId w:val="8"/>
              </w:numPr>
              <w:spacing w:before="100" w:beforeAutospacing="1" w:after="100" w:afterAutospacing="1" w:line="240" w:lineRule="auto"/>
              <w:rPr>
                <w:rFonts w:ascii="Lato" w:eastAsia="Times New Roman" w:hAnsi="Lato" w:cs="Times New Roman"/>
                <w:sz w:val="24"/>
                <w:szCs w:val="24"/>
                <w:lang w:eastAsia="pl-PL"/>
              </w:rPr>
            </w:pPr>
          </w:p>
        </w:tc>
      </w:tr>
      <w:tr w:rsidR="004B44F9" w:rsidRPr="004B44F9" w14:paraId="64D650B0" w14:textId="77777777" w:rsidTr="004B44F9">
        <w:trPr>
          <w:trHeight w:val="375"/>
          <w:tblCellSpacing w:w="75" w:type="dxa"/>
        </w:trPr>
        <w:tc>
          <w:tcPr>
            <w:tcW w:w="0" w:type="auto"/>
            <w:gridSpan w:val="2"/>
            <w:shd w:val="clear" w:color="auto" w:fill="444444"/>
            <w:vAlign w:val="center"/>
            <w:hideMark/>
          </w:tcPr>
          <w:p w14:paraId="39AAB45E" w14:textId="77777777" w:rsidR="004B44F9" w:rsidRPr="004B44F9" w:rsidRDefault="004B44F9" w:rsidP="004B44F9">
            <w:pPr>
              <w:spacing w:after="0" w:line="240" w:lineRule="auto"/>
              <w:jc w:val="center"/>
              <w:rPr>
                <w:rFonts w:ascii="Lato" w:eastAsia="Times New Roman" w:hAnsi="Lato" w:cs="Times New Roman"/>
                <w:color w:val="FFFFFF"/>
                <w:sz w:val="24"/>
                <w:szCs w:val="24"/>
                <w:lang w:eastAsia="pl-PL"/>
              </w:rPr>
            </w:pPr>
            <w:r w:rsidRPr="004B44F9">
              <w:rPr>
                <w:rFonts w:ascii="Lato" w:eastAsia="Times New Roman" w:hAnsi="Lato" w:cs="Times New Roman"/>
                <w:b/>
                <w:bCs/>
                <w:color w:val="FFFFFF"/>
                <w:sz w:val="24"/>
                <w:szCs w:val="24"/>
                <w:lang w:eastAsia="pl-PL"/>
              </w:rPr>
              <w:lastRenderedPageBreak/>
              <w:t>ODPADY ZMIESZANE</w:t>
            </w:r>
          </w:p>
        </w:tc>
      </w:tr>
      <w:tr w:rsidR="004B44F9" w:rsidRPr="004B44F9" w14:paraId="64C71454" w14:textId="77777777" w:rsidTr="004B44F9">
        <w:trPr>
          <w:tblCellSpacing w:w="75" w:type="dxa"/>
        </w:trPr>
        <w:tc>
          <w:tcPr>
            <w:tcW w:w="0" w:type="auto"/>
            <w:gridSpan w:val="2"/>
            <w:vAlign w:val="center"/>
            <w:hideMark/>
          </w:tcPr>
          <w:p w14:paraId="0CE26847" w14:textId="77777777" w:rsidR="004B44F9" w:rsidRPr="004B44F9" w:rsidRDefault="004B44F9" w:rsidP="004B44F9">
            <w:pPr>
              <w:spacing w:after="0"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Do pojemnika z odpadami zmieszanymi należy wrzucać wszystko to, czego nie można odzyskać w procesie recyklingu, z wyłączeniem odpadów niebezpiecznych.</w:t>
            </w:r>
          </w:p>
        </w:tc>
      </w:tr>
    </w:tbl>
    <w:p w14:paraId="4463BE9F" w14:textId="77777777" w:rsidR="004B44F9" w:rsidRPr="004B44F9" w:rsidRDefault="004B44F9" w:rsidP="004B44F9">
      <w:pPr>
        <w:spacing w:before="100" w:beforeAutospacing="1" w:after="100" w:afterAutospacing="1" w:line="240" w:lineRule="auto"/>
        <w:rPr>
          <w:rFonts w:ascii="Lato" w:eastAsia="Times New Roman" w:hAnsi="Lato" w:cs="Times New Roman"/>
          <w:sz w:val="24"/>
          <w:szCs w:val="24"/>
          <w:lang w:eastAsia="pl-PL"/>
        </w:rPr>
      </w:pPr>
      <w:r w:rsidRPr="004B44F9">
        <w:rPr>
          <w:rFonts w:ascii="Lato" w:eastAsia="Times New Roman" w:hAnsi="Lato" w:cs="Times New Roman"/>
          <w:sz w:val="24"/>
          <w:szCs w:val="24"/>
          <w:lang w:eastAsia="pl-PL"/>
        </w:rPr>
        <w:t> </w:t>
      </w:r>
    </w:p>
    <w:p w14:paraId="4194A703" w14:textId="77777777" w:rsidR="00C9140E" w:rsidRDefault="00C9140E"/>
    <w:sectPr w:rsidR="00C91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B1D3A"/>
    <w:multiLevelType w:val="multilevel"/>
    <w:tmpl w:val="F48C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C7253"/>
    <w:multiLevelType w:val="multilevel"/>
    <w:tmpl w:val="4B1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33F15"/>
    <w:multiLevelType w:val="multilevel"/>
    <w:tmpl w:val="862E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77179"/>
    <w:multiLevelType w:val="multilevel"/>
    <w:tmpl w:val="0C64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462552"/>
    <w:multiLevelType w:val="multilevel"/>
    <w:tmpl w:val="C998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1762F6"/>
    <w:multiLevelType w:val="multilevel"/>
    <w:tmpl w:val="A260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7289B"/>
    <w:multiLevelType w:val="multilevel"/>
    <w:tmpl w:val="1E58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A1889"/>
    <w:multiLevelType w:val="multilevel"/>
    <w:tmpl w:val="DE48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F9"/>
    <w:rsid w:val="004B44F9"/>
    <w:rsid w:val="00816979"/>
    <w:rsid w:val="00C914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C528"/>
  <w15:chartTrackingRefBased/>
  <w15:docId w15:val="{FA2770CA-2D17-408B-8CC4-DF57163F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44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4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078684">
      <w:bodyDiv w:val="1"/>
      <w:marLeft w:val="0"/>
      <w:marRight w:val="0"/>
      <w:marTop w:val="0"/>
      <w:marBottom w:val="0"/>
      <w:divBdr>
        <w:top w:val="none" w:sz="0" w:space="0" w:color="auto"/>
        <w:left w:val="none" w:sz="0" w:space="0" w:color="auto"/>
        <w:bottom w:val="none" w:sz="0" w:space="0" w:color="auto"/>
        <w:right w:val="none" w:sz="0" w:space="0" w:color="auto"/>
      </w:divBdr>
      <w:divsChild>
        <w:div w:id="468016371">
          <w:marLeft w:val="0"/>
          <w:marRight w:val="0"/>
          <w:marTop w:val="0"/>
          <w:marBottom w:val="0"/>
          <w:divBdr>
            <w:top w:val="none" w:sz="0" w:space="0" w:color="auto"/>
            <w:left w:val="none" w:sz="0" w:space="0" w:color="auto"/>
            <w:bottom w:val="none" w:sz="0" w:space="0" w:color="auto"/>
            <w:right w:val="none" w:sz="0" w:space="0" w:color="auto"/>
          </w:divBdr>
          <w:divsChild>
            <w:div w:id="1840579141">
              <w:marLeft w:val="0"/>
              <w:marRight w:val="0"/>
              <w:marTop w:val="0"/>
              <w:marBottom w:val="0"/>
              <w:divBdr>
                <w:top w:val="none" w:sz="0" w:space="0" w:color="auto"/>
                <w:left w:val="none" w:sz="0" w:space="0" w:color="auto"/>
                <w:bottom w:val="none" w:sz="0" w:space="0" w:color="auto"/>
                <w:right w:val="none" w:sz="0" w:space="0" w:color="auto"/>
              </w:divBdr>
              <w:divsChild>
                <w:div w:id="626549533">
                  <w:marLeft w:val="0"/>
                  <w:marRight w:val="0"/>
                  <w:marTop w:val="0"/>
                  <w:marBottom w:val="0"/>
                  <w:divBdr>
                    <w:top w:val="none" w:sz="0" w:space="0" w:color="auto"/>
                    <w:left w:val="none" w:sz="0" w:space="0" w:color="auto"/>
                    <w:bottom w:val="none" w:sz="0" w:space="0" w:color="auto"/>
                    <w:right w:val="none" w:sz="0" w:space="0" w:color="auto"/>
                  </w:divBdr>
                  <w:divsChild>
                    <w:div w:id="1075930405">
                      <w:marLeft w:val="0"/>
                      <w:marRight w:val="0"/>
                      <w:marTop w:val="0"/>
                      <w:marBottom w:val="0"/>
                      <w:divBdr>
                        <w:top w:val="none" w:sz="0" w:space="0" w:color="auto"/>
                        <w:left w:val="none" w:sz="0" w:space="0" w:color="auto"/>
                        <w:bottom w:val="none" w:sz="0" w:space="0" w:color="auto"/>
                        <w:right w:val="none" w:sz="0" w:space="0" w:color="auto"/>
                      </w:divBdr>
                    </w:div>
                    <w:div w:id="1702512842">
                      <w:marLeft w:val="0"/>
                      <w:marRight w:val="0"/>
                      <w:marTop w:val="0"/>
                      <w:marBottom w:val="0"/>
                      <w:divBdr>
                        <w:top w:val="none" w:sz="0" w:space="0" w:color="auto"/>
                        <w:left w:val="none" w:sz="0" w:space="0" w:color="auto"/>
                        <w:bottom w:val="none" w:sz="0" w:space="0" w:color="auto"/>
                        <w:right w:val="none" w:sz="0" w:space="0" w:color="auto"/>
                      </w:divBdr>
                    </w:div>
                    <w:div w:id="889194792">
                      <w:marLeft w:val="0"/>
                      <w:marRight w:val="0"/>
                      <w:marTop w:val="0"/>
                      <w:marBottom w:val="0"/>
                      <w:divBdr>
                        <w:top w:val="none" w:sz="0" w:space="0" w:color="auto"/>
                        <w:left w:val="none" w:sz="0" w:space="0" w:color="auto"/>
                        <w:bottom w:val="none" w:sz="0" w:space="0" w:color="auto"/>
                        <w:right w:val="none" w:sz="0" w:space="0" w:color="auto"/>
                      </w:divBdr>
                      <w:divsChild>
                        <w:div w:id="356808594">
                          <w:marLeft w:val="-2625"/>
                          <w:marRight w:val="0"/>
                          <w:marTop w:val="0"/>
                          <w:marBottom w:val="0"/>
                          <w:divBdr>
                            <w:top w:val="none" w:sz="0" w:space="0" w:color="auto"/>
                            <w:left w:val="none" w:sz="0" w:space="0" w:color="auto"/>
                            <w:bottom w:val="none" w:sz="0" w:space="0" w:color="auto"/>
                            <w:right w:val="none" w:sz="0" w:space="0" w:color="auto"/>
                          </w:divBdr>
                        </w:div>
                      </w:divsChild>
                    </w:div>
                    <w:div w:id="1592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ziennikustaw.gov.pl/DU/2017/19/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795</Words>
  <Characters>4772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Żołopa</dc:creator>
  <cp:keywords/>
  <dc:description/>
  <cp:lastModifiedBy>Karolina Głogowska</cp:lastModifiedBy>
  <cp:revision>2</cp:revision>
  <cp:lastPrinted>2019-06-04T12:23:00Z</cp:lastPrinted>
  <dcterms:created xsi:type="dcterms:W3CDTF">2020-09-30T11:05:00Z</dcterms:created>
  <dcterms:modified xsi:type="dcterms:W3CDTF">2020-09-30T11:05:00Z</dcterms:modified>
</cp:coreProperties>
</file>