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74" w:rsidRPr="00173CDE" w:rsidRDefault="00A72174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173CDE">
        <w:rPr>
          <w:rFonts w:ascii="Cambria" w:hAnsi="Cambria" w:cstheme="minorHAnsi"/>
          <w:i/>
          <w:sz w:val="18"/>
        </w:rPr>
        <w:t>Załącznik nr 3 do Oświadczenia o spełnianiu kryteriów MSP</w:t>
      </w: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4224BC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przedstawiane przez przedsiębiorstwo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POWIĄZANE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2214"/>
        <w:gridCol w:w="480"/>
        <w:gridCol w:w="1734"/>
      </w:tblGrid>
      <w:tr w:rsidR="00A72174" w:rsidRPr="00173CDE" w:rsidTr="00F227C9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</w:tcPr>
          <w:p w:rsidR="00A72174" w:rsidRPr="00173CDE" w:rsidRDefault="00A72174" w:rsidP="001A5F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Czy któraś z poniższych relacji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1"/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zachodzi pomiędzy przedsiębiorstwem Wnioskodawcy, a innym podmiotem na podstawie umowy, porozumienia lub uzgodnienia z podmiotami trzecimi, w tym z następującymi podmiotami: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 to samo przedsiębiorstwo nie przekroczy 1 250 000 EUR;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uczelnie (szkoły wyższe) lub ośrodki badawcze nienastawione na zysk;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inwestorzy instytucjonalni, w tym regionalne fundusze rozwoju;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niezależne władze lokalne z rocznym budżetem poniżej 10 milionów EUR oraz liczbą mieszkańców poniżej 5 000;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1A5F3C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73CDE">
              <w:rPr>
                <w:rFonts w:asciiTheme="minorHAnsi" w:hAnsiTheme="minorHAnsi" w:cstheme="minorHAnsi"/>
                <w:sz w:val="16"/>
                <w:szCs w:val="20"/>
              </w:rPr>
              <w:t>1a. Przedsiębiorstwo Wnioskodawcy ma większość praw głosu w innym przedsiębiorstwie w roli udziałowca/ /akcjonariusza lub członka albo inne przedsiębiorstwo ma większość praw głosu w roli udziałowca/ /akcjonariusza lub członka w przedsiębiorstwie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1b.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 Projekcie?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1c. Przedsiębiorstwo Wnioskodawcy ma prawo wywierać dominujący wpływ na inne przedsiębiorstwo zgodnie z umową zawartą z tym przedsiębiorstwem lub z postanowieniami w jego dokumencie założycielskim, statucie lub umowie spółki albo inne przedsiębiorstwo ma prawo wywierać dominujący wpływ na przedsiębiorstwo Wnioskodawcy zgodnie z umową lub postanowieniami w jego dokumencie założycielskim, statucie lub umowie spółki?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1d. Przedsiębiorstwo Wnioskodawcy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albo inne przedsiębiorstwo będące udziałowcem/akcjonariuszem lub członkiem przedsiębiorstwa Wnioskodawcy kontroluje samodzielnie, zgodnie z umową z innymi udziałowcami/ /akcjonariuszami lub członkami tego przedsiębiorstwa, większość praw głosu udziałowców/ akcjonariuszy lub członków w tym przedsiębiorstwie?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1e. Dominujący wpływ na inny podmiot za pośrednictwem osoby fizycznej bądź też wpływ za pośrednictwem osoby fizycznej na przedsiębiorstwo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podmiotów powiązanych z Wnioskodawcą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Nazwa i siedziba przedsiębiorstwa/ przedsiębiorstw pozostających 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z Wnioskodawcą w relacji przedsiębiorstw powiązanych 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Wnioskodawcy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 kapitale lub prawach głosu przedsiębiorstwa powiązanego 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  <w:tc>
          <w:tcPr>
            <w:tcW w:w="2214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przedsiębiorstwa powiązanego w kapitale lub prawach głosu Wnioskodawcy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3a.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173CDE">
              <w:rPr>
                <w:rStyle w:val="Odwoanieprzypisukocowego"/>
                <w:rFonts w:asciiTheme="minorHAnsi" w:hAnsiTheme="minorHAnsi" w:cstheme="minorHAnsi"/>
                <w:bCs/>
                <w:sz w:val="18"/>
              </w:rPr>
              <w:endnoteReference w:id="2"/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tabs>
                <w:tab w:val="left" w:pos="267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3b.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sprawozdanie skonsolidowane, o którym mowa w pkt 3a, uwzględnia również dane przedsiębiorstwa Wnioskodawcy? 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3c.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lub co najmniej jedno z przedsiębiorstw z nim powiązanych</w:t>
            </w:r>
            <w:r w:rsidRPr="00173CDE" w:rsidDel="005823C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sporządza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skonsolidowane sprawozdanie finansowe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lub jest ujęte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w sprawozdaniu skonsolidowanym innego przedsiębiorstwa z nim powiązanego?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A72174" w:rsidRPr="00173CDE" w:rsidRDefault="00A72174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A72174" w:rsidRPr="00173CDE" w:rsidRDefault="00A72174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A72174" w:rsidRPr="00173CDE" w:rsidSect="00827E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A72174" w:rsidRPr="004224BC" w:rsidRDefault="00A72174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42"/>
        <w:gridCol w:w="1360"/>
        <w:gridCol w:w="1167"/>
        <w:gridCol w:w="1552"/>
        <w:gridCol w:w="1359"/>
        <w:gridCol w:w="1200"/>
        <w:gridCol w:w="1519"/>
        <w:gridCol w:w="1360"/>
      </w:tblGrid>
      <w:tr w:rsidR="00A72174" w:rsidRPr="00173CDE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A72174" w:rsidRPr="00173CDE" w:rsidRDefault="00A72174" w:rsidP="0005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MŚP Wnioskodawcy będącego przedsiębiorstwem powiązanym.</w:t>
            </w:r>
          </w:p>
        </w:tc>
      </w:tr>
      <w:tr w:rsidR="00A72174" w:rsidRPr="00173CDE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 xml:space="preserve">W okresie sprawozdawczym za drugi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</w:t>
            </w: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1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3"/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A72174" w:rsidRPr="00173CDE" w:rsidTr="00050765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5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6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przedsiębiorcy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nr…..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Zsumowane dane wszystk</w:t>
            </w:r>
            <w:r w:rsidRPr="00173C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 przedsiębiorstw powiązan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BFBFBF"/>
              </w:rPr>
              <w:t>y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ch*/ Dane wynikające ze skonsolidowanego sprawozdania finansowego przedsiębiorstw powiązanych*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7"/>
            </w:r>
          </w:p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/>
                <w:sz w:val="16"/>
                <w:szCs w:val="18"/>
              </w:rPr>
              <w:t>*niepotrzebne skreślić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2174" w:rsidRPr="004224BC" w:rsidRDefault="00A72174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 w:val="14"/>
          <w:szCs w:val="20"/>
        </w:rPr>
      </w:pPr>
    </w:p>
    <w:p w:rsidR="00A72174" w:rsidRPr="00173CDE" w:rsidRDefault="00A72174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173CDE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A72174" w:rsidRPr="004224BC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6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A72174" w:rsidRPr="00173CDE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A72174" w:rsidRPr="00173CDE" w:rsidTr="00F41775">
        <w:trPr>
          <w:trHeight w:val="1069"/>
          <w:jc w:val="center"/>
        </w:trPr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A72174" w:rsidRPr="00173CDE" w:rsidSect="002C202F">
          <w:headerReference w:type="default" r:id="rId13"/>
          <w:footerReference w:type="default" r:id="rId14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A72174" w:rsidRPr="00173CDE" w:rsidRDefault="00A72174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A72174" w:rsidRPr="00173CDE" w:rsidSect="00C82CA5">
      <w:headerReference w:type="default" r:id="rId15"/>
      <w:footerReference w:type="default" r:id="rId16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E" w:rsidRDefault="0037135E" w:rsidP="00BD467A">
      <w:pPr>
        <w:spacing w:after="0" w:line="240" w:lineRule="auto"/>
      </w:pPr>
      <w:r>
        <w:separator/>
      </w:r>
    </w:p>
  </w:endnote>
  <w:end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endnote>
  <w:endnote w:id="1">
    <w:p w:rsidR="00A72174" w:rsidRPr="004224BC" w:rsidRDefault="00A72174" w:rsidP="0005076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sz w:val="20"/>
          <w:szCs w:val="16"/>
        </w:rPr>
        <w:endnoteRef/>
      </w:r>
      <w:r w:rsidRPr="004224BC">
        <w:rPr>
          <w:rFonts w:ascii="Cambria" w:hAnsi="Cambria" w:cs="Calibri"/>
          <w:sz w:val="20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W przypadku zaznaczenia opcji </w:t>
      </w:r>
      <w:r w:rsidRPr="004224BC">
        <w:rPr>
          <w:rFonts w:ascii="Cambria" w:hAnsi="Cambria" w:cs="Calibri"/>
          <w:b w:val="0"/>
          <w:color w:val="C00000"/>
          <w:sz w:val="16"/>
          <w:szCs w:val="16"/>
        </w:rPr>
        <w:t>„tak”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 w odniesieniu do którejkolwiek przesłanek w wierszu „Opis” należy szczegółowo opisać w jaki sposób przedmiotowa przesłanka jest spełniona. W szczególności należy opisać zaistniałe </w:t>
      </w:r>
      <w:r w:rsidRPr="004224BC">
        <w:rPr>
          <w:rFonts w:ascii="Cambria" w:hAnsi="Cambria" w:cs="Calibri"/>
          <w:b w:val="0"/>
          <w:color w:val="000000"/>
          <w:sz w:val="16"/>
          <w:szCs w:val="16"/>
        </w:rPr>
        <w:t xml:space="preserve">zmiany w strukturze właścicielskiej przedsiębiorstwa, wraz z określeniem daty ww. zmiany, podstawy prawnej oraz ich charakteru, wielkości posiadanych udziałów etc. </w:t>
      </w:r>
    </w:p>
  </w:endnote>
  <w:endnote w:id="2">
    <w:p w:rsidR="00A72174" w:rsidRPr="004224BC" w:rsidRDefault="00A72174" w:rsidP="00050765">
      <w:pPr>
        <w:tabs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224BC">
        <w:rPr>
          <w:rFonts w:ascii="Cambria" w:hAnsi="Cambria"/>
          <w:b/>
          <w:sz w:val="16"/>
          <w:szCs w:val="16"/>
        </w:rPr>
        <w:t>przedsiębiorstwa związane.</w:t>
      </w:r>
    </w:p>
  </w:endnote>
  <w:endnote w:id="3"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4224BC">
        <w:rPr>
          <w:rStyle w:val="Odwoanieprzypisukocowego"/>
          <w:rFonts w:ascii="Cambria" w:hAnsi="Cambria"/>
          <w:b/>
          <w:szCs w:val="16"/>
        </w:rPr>
        <w:endnoteRef/>
      </w:r>
      <w:r w:rsidRPr="004224BC">
        <w:rPr>
          <w:rFonts w:ascii="Cambria" w:hAnsi="Cambria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Okres referencyjny:</w:t>
      </w:r>
      <w:r w:rsidRPr="004224BC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4"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bCs w:val="0"/>
          <w:sz w:val="16"/>
          <w:szCs w:val="16"/>
        </w:rPr>
        <w:t>Liczba zatrudnionych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liczba personelu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5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Roczny obrót</w:t>
      </w:r>
      <w:r w:rsidRPr="004224BC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6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ab/>
      </w:r>
      <w:r w:rsidRPr="004224BC">
        <w:rPr>
          <w:rFonts w:ascii="Cambria" w:hAnsi="Cambria" w:cs="Calibri"/>
          <w:b/>
          <w:sz w:val="16"/>
          <w:szCs w:val="16"/>
        </w:rPr>
        <w:t>Całkowity bilans roczny</w:t>
      </w:r>
      <w:r w:rsidRPr="004224BC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4224BC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b/>
          <w:szCs w:val="16"/>
        </w:rPr>
        <w:endnoteRef/>
      </w:r>
      <w:r w:rsidRPr="004224BC">
        <w:rPr>
          <w:rFonts w:ascii="Cambria" w:hAnsi="Cambria" w:cs="Calibri"/>
          <w:sz w:val="16"/>
          <w:szCs w:val="16"/>
        </w:rPr>
        <w:t xml:space="preserve"> Aby ustalić </w:t>
      </w:r>
      <w:r w:rsidRPr="004224BC">
        <w:rPr>
          <w:rFonts w:ascii="Cambria" w:hAnsi="Cambria" w:cs="Calibri"/>
          <w:b/>
          <w:color w:val="C00000"/>
          <w:sz w:val="16"/>
          <w:szCs w:val="16"/>
        </w:rPr>
        <w:t>czy dane przedsiębiorstwo, pozostające w relacji przedsiębiorstw powiązanych zachowuje próg zatrudnienia i pułapy finansowe ustanowione w definicji MŚP</w:t>
      </w:r>
      <w:r w:rsidRPr="004224BC">
        <w:rPr>
          <w:rFonts w:ascii="Cambria" w:hAnsi="Cambria" w:cs="Calibri"/>
          <w:sz w:val="16"/>
          <w:szCs w:val="16"/>
        </w:rPr>
        <w:t xml:space="preserve">, należy przedstawić dane dot. wielkości zatrudnienia, wysokości obrotu rocznego oraz sumy aktywów bilansu, w związku z tym należy dodać 100% danych przedsiębiorstwa powiązanego do danych przedsiębiorstwa. </w:t>
      </w:r>
    </w:p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sz w:val="16"/>
          <w:szCs w:val="16"/>
        </w:rPr>
        <w:t>Zasada obliczania danych przedsiębiorstw pozostających w relacji partnerskiej określa art. 6 ust. 2 Załącznika nr I do Rozporządzenia Komisji (UE) nr 651/2014.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Przykład: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Przedsiębiorstwo A jest Wnioskodawcą w Projekcie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51% udziałów w przedsiębiorstwie C.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100% udziałów w przedsiębiorstwie D.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B posiada 60% udziałów w przedsiębiorstwie 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Dane łączne przedsiębiorstwa powiązanego: 100%A+100%B+100% C+100% D.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 w:cs="Calibri"/>
          <w:sz w:val="16"/>
          <w:szCs w:val="16"/>
          <w:u w:val="single"/>
        </w:rPr>
      </w:pPr>
      <w:r w:rsidRPr="004224BC">
        <w:rPr>
          <w:rFonts w:ascii="Cambria" w:hAnsi="Cambria" w:cs="Calibri"/>
          <w:sz w:val="16"/>
          <w:szCs w:val="16"/>
        </w:rPr>
        <w:t xml:space="preserve">   </w:t>
      </w:r>
      <w:r w:rsidRPr="004224BC">
        <w:rPr>
          <w:rFonts w:ascii="Cambria" w:hAnsi="Cambria" w:cs="Calibri"/>
          <w:sz w:val="16"/>
          <w:szCs w:val="16"/>
          <w:u w:val="single"/>
        </w:rPr>
        <w:t>Uwaga:</w:t>
      </w:r>
      <w:r w:rsidRPr="004224BC">
        <w:rPr>
          <w:rFonts w:ascii="Cambria" w:hAnsi="Cambria" w:cs="Calibri"/>
          <w:sz w:val="16"/>
          <w:szCs w:val="16"/>
        </w:rPr>
        <w:t xml:space="preserve"> 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 Projekcie) nie będzie w tym przypadku konieczne.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/>
        </w:rPr>
      </w:pPr>
      <w:r w:rsidRPr="004224BC">
        <w:rPr>
          <w:rFonts w:ascii="Cambria" w:hAnsi="Cambria" w:cs="Calibri"/>
          <w:sz w:val="16"/>
          <w:szCs w:val="16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powiązane.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07B6AB44" wp14:editId="05D506EE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58779DE9" wp14:editId="7FF1CCD5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7A4C14D7" wp14:editId="53C879E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9319E" id="Łącznik prosty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4CF9B895" wp14:editId="232B1D46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6F443EAD" wp14:editId="28256710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3DEFA029" wp14:editId="2CE02C72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2F15EC4E" wp14:editId="77172C7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1BE1" id="Łącznik prosty 3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u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H+OnG4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7184" behindDoc="0" locked="0" layoutInCell="1" allowOverlap="1" wp14:anchorId="4F120A61" wp14:editId="0224FECA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15" w:rsidRDefault="00B041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524CEC" w:rsidRDefault="004224BC" w:rsidP="004224BC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 wp14:anchorId="3E33F764" wp14:editId="6AA6961C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 wp14:anchorId="13D9A7C3" wp14:editId="2005936C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41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 wp14:anchorId="10F556D3" wp14:editId="2F10A629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B2FD0" id="Łącznik prostoliniowy 1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2CC32DA4" wp14:editId="56BAAFA3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3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5963E" id="Łącznik prosty 142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Ox7pnfeAQAAkQ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8448" behindDoc="0" locked="0" layoutInCell="1" allowOverlap="1" wp14:anchorId="52F0EFDB" wp14:editId="002E9721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A72174" w:rsidRPr="004224BC" w:rsidRDefault="004224BC" w:rsidP="004224B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</w:t>
    </w:r>
    <w:r>
      <w:rPr>
        <w:rFonts w:ascii="Cambria" w:hAnsi="Cambria"/>
        <w:sz w:val="16"/>
        <w:szCs w:val="18"/>
      </w:rPr>
      <w:t>2-3</w:t>
    </w:r>
    <w:r w:rsidRPr="00524CEC">
      <w:rPr>
        <w:rFonts w:ascii="Cambria" w:hAnsi="Cambria"/>
        <w:sz w:val="16"/>
        <w:szCs w:val="18"/>
      </w:rPr>
      <w:t>/E WI-0</w:t>
    </w:r>
    <w:r w:rsidR="00B04115">
      <w:rPr>
        <w:rFonts w:ascii="Cambria" w:hAnsi="Cambria"/>
        <w:sz w:val="16"/>
        <w:szCs w:val="18"/>
      </w:rPr>
      <w:t>3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3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012C3AD2" wp14:editId="18D9409D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619094F6" wp14:editId="02AF831D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2245B452" wp14:editId="67237DE3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B597E" id="Łącznik prosty 34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3568" behindDoc="0" locked="0" layoutInCell="1" allowOverlap="1" wp14:anchorId="57A164F9" wp14:editId="65AB99CB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E" w:rsidRDefault="0037135E" w:rsidP="00BD467A">
      <w:pPr>
        <w:spacing w:after="0" w:line="240" w:lineRule="auto"/>
      </w:pPr>
      <w:r>
        <w:separator/>
      </w:r>
    </w:p>
  </w:footnote>
  <w:foot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827E11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8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1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A72174" w:rsidP="00827E11">
    <w:pPr>
      <w:pStyle w:val="Nagwek"/>
    </w:pPr>
  </w:p>
  <w:p w:rsidR="00A72174" w:rsidRDefault="008021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A7A4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IXQFVQ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5842E" id="Łącznik prostoliniowy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BRT/8c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15" w:rsidRDefault="00B041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173C1F" w:rsidRDefault="008021AD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486A6" id="Line 1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gxHQ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" strokecolor="#4579b8" strokeweight="1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620C9" id="Line 2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9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7"/>
  </w:num>
  <w:num w:numId="15">
    <w:abstractNumId w:val="32"/>
  </w:num>
  <w:num w:numId="16">
    <w:abstractNumId w:val="20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6"/>
  </w:num>
  <w:num w:numId="37">
    <w:abstractNumId w:val="39"/>
  </w:num>
  <w:num w:numId="38">
    <w:abstractNumId w:val="17"/>
  </w:num>
  <w:num w:numId="39">
    <w:abstractNumId w:val="18"/>
  </w:num>
  <w:num w:numId="4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076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62A20"/>
    <w:rsid w:val="00164EB0"/>
    <w:rsid w:val="00166A4C"/>
    <w:rsid w:val="00172527"/>
    <w:rsid w:val="00173C1F"/>
    <w:rsid w:val="00173CDE"/>
    <w:rsid w:val="00177E07"/>
    <w:rsid w:val="001866D0"/>
    <w:rsid w:val="00186B39"/>
    <w:rsid w:val="00190521"/>
    <w:rsid w:val="001913D4"/>
    <w:rsid w:val="00192A7F"/>
    <w:rsid w:val="00193AAA"/>
    <w:rsid w:val="001A3B89"/>
    <w:rsid w:val="001A4681"/>
    <w:rsid w:val="001A5F3C"/>
    <w:rsid w:val="001B092B"/>
    <w:rsid w:val="001C13D6"/>
    <w:rsid w:val="001C58EF"/>
    <w:rsid w:val="001C61F6"/>
    <w:rsid w:val="001E3222"/>
    <w:rsid w:val="001F0F20"/>
    <w:rsid w:val="00200514"/>
    <w:rsid w:val="00200E5D"/>
    <w:rsid w:val="00203A87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048D0"/>
    <w:rsid w:val="003117E4"/>
    <w:rsid w:val="00322C02"/>
    <w:rsid w:val="00327E46"/>
    <w:rsid w:val="00334F5E"/>
    <w:rsid w:val="00344762"/>
    <w:rsid w:val="00352F8B"/>
    <w:rsid w:val="00353FD8"/>
    <w:rsid w:val="00355268"/>
    <w:rsid w:val="00361691"/>
    <w:rsid w:val="0037135E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1D28"/>
    <w:rsid w:val="003F33D5"/>
    <w:rsid w:val="003F5F21"/>
    <w:rsid w:val="00400712"/>
    <w:rsid w:val="004079C7"/>
    <w:rsid w:val="00413FE9"/>
    <w:rsid w:val="00417B07"/>
    <w:rsid w:val="004224BC"/>
    <w:rsid w:val="00424FD2"/>
    <w:rsid w:val="0043466F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23C3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465F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309EE"/>
    <w:rsid w:val="00741981"/>
    <w:rsid w:val="007471CA"/>
    <w:rsid w:val="0075041F"/>
    <w:rsid w:val="0075278F"/>
    <w:rsid w:val="0077354C"/>
    <w:rsid w:val="00782F41"/>
    <w:rsid w:val="0078515A"/>
    <w:rsid w:val="007914F3"/>
    <w:rsid w:val="007A2E81"/>
    <w:rsid w:val="007A57BE"/>
    <w:rsid w:val="007A7027"/>
    <w:rsid w:val="007B5F1D"/>
    <w:rsid w:val="007C4E23"/>
    <w:rsid w:val="007C74A4"/>
    <w:rsid w:val="007D0E86"/>
    <w:rsid w:val="007F1732"/>
    <w:rsid w:val="008021AD"/>
    <w:rsid w:val="00805AAF"/>
    <w:rsid w:val="008133F8"/>
    <w:rsid w:val="008160AA"/>
    <w:rsid w:val="00823AA5"/>
    <w:rsid w:val="008251FA"/>
    <w:rsid w:val="00827E11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B3786"/>
    <w:rsid w:val="008C140F"/>
    <w:rsid w:val="008D6171"/>
    <w:rsid w:val="008D6667"/>
    <w:rsid w:val="008E1FC6"/>
    <w:rsid w:val="008E57B4"/>
    <w:rsid w:val="008E6A64"/>
    <w:rsid w:val="008F218C"/>
    <w:rsid w:val="008F52E9"/>
    <w:rsid w:val="00912F12"/>
    <w:rsid w:val="00915E6D"/>
    <w:rsid w:val="0091733A"/>
    <w:rsid w:val="00926F26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9F7E3F"/>
    <w:rsid w:val="00A01D36"/>
    <w:rsid w:val="00A06D54"/>
    <w:rsid w:val="00A165A7"/>
    <w:rsid w:val="00A226FE"/>
    <w:rsid w:val="00A331F2"/>
    <w:rsid w:val="00A72174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04115"/>
    <w:rsid w:val="00B250EE"/>
    <w:rsid w:val="00B35167"/>
    <w:rsid w:val="00B411AC"/>
    <w:rsid w:val="00B42026"/>
    <w:rsid w:val="00B43BC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5506"/>
    <w:rsid w:val="00D1340A"/>
    <w:rsid w:val="00D20644"/>
    <w:rsid w:val="00D30E47"/>
    <w:rsid w:val="00D512DE"/>
    <w:rsid w:val="00D610B9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227C9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C435A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79D924-2001-4496-BFE4-4258F6B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F2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5209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2018-07-10T10:41:00Z</dcterms:created>
  <dcterms:modified xsi:type="dcterms:W3CDTF">2018-07-10T10:41:00Z</dcterms:modified>
</cp:coreProperties>
</file>